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391" w:rsidRDefault="00DD3391">
      <w:pPr>
        <w:widowControl w:val="0"/>
        <w:pBdr>
          <w:top w:val="nil"/>
          <w:left w:val="nil"/>
          <w:bottom w:val="nil"/>
          <w:right w:val="nil"/>
          <w:between w:val="nil"/>
        </w:pBdr>
      </w:pPr>
    </w:p>
    <w:p w:rsidR="00DD3391" w:rsidRDefault="00DD3391">
      <w:pPr>
        <w:rPr>
          <w:rFonts w:ascii="Arial Narrow" w:eastAsia="Arial Narrow" w:hAnsi="Arial Narrow" w:cs="Arial Narrow"/>
          <w:sz w:val="24"/>
          <w:szCs w:val="24"/>
        </w:rPr>
      </w:pPr>
    </w:p>
    <w:p w:rsidR="00DD3391" w:rsidRDefault="00CC1A68">
      <w:pPr>
        <w:rPr>
          <w:rFonts w:ascii="Arial Narrow" w:eastAsia="Arial Narrow" w:hAnsi="Arial Narrow" w:cs="Arial Narrow"/>
          <w:sz w:val="24"/>
          <w:szCs w:val="24"/>
        </w:rPr>
      </w:pPr>
      <w:r>
        <w:rPr>
          <w:rFonts w:ascii="Arial Narrow" w:eastAsia="Arial Narrow" w:hAnsi="Arial Narrow" w:cs="Arial Narrow"/>
          <w:sz w:val="24"/>
          <w:szCs w:val="24"/>
        </w:rPr>
        <w:t>Bogotá, 9 d</w:t>
      </w:r>
      <w:r w:rsidR="00CA2042">
        <w:rPr>
          <w:rFonts w:ascii="Arial Narrow" w:eastAsia="Arial Narrow" w:hAnsi="Arial Narrow" w:cs="Arial Narrow"/>
          <w:sz w:val="24"/>
          <w:szCs w:val="24"/>
        </w:rPr>
        <w:t>iciembre de 2024</w:t>
      </w:r>
    </w:p>
    <w:p w:rsidR="00DD3391" w:rsidRDefault="00DD3391">
      <w:pPr>
        <w:rPr>
          <w:rFonts w:ascii="Arial Narrow" w:eastAsia="Arial Narrow" w:hAnsi="Arial Narrow" w:cs="Arial Narrow"/>
          <w:sz w:val="24"/>
          <w:szCs w:val="24"/>
        </w:rPr>
      </w:pPr>
    </w:p>
    <w:p w:rsidR="00DD3391" w:rsidRDefault="00CA2042">
      <w:pPr>
        <w:rPr>
          <w:rFonts w:ascii="Arial Narrow" w:eastAsia="Arial Narrow" w:hAnsi="Arial Narrow" w:cs="Arial Narrow"/>
          <w:sz w:val="24"/>
          <w:szCs w:val="24"/>
        </w:rPr>
      </w:pPr>
      <w:r>
        <w:rPr>
          <w:rFonts w:ascii="Arial Narrow" w:eastAsia="Arial Narrow" w:hAnsi="Arial Narrow" w:cs="Arial Narrow"/>
          <w:sz w:val="24"/>
          <w:szCs w:val="24"/>
        </w:rPr>
        <w:t>Doctora</w:t>
      </w:r>
    </w:p>
    <w:p w:rsidR="00DD3391" w:rsidRDefault="00CA2042">
      <w:pPr>
        <w:rPr>
          <w:rFonts w:ascii="Arial Narrow" w:eastAsia="Arial Narrow" w:hAnsi="Arial Narrow" w:cs="Arial Narrow"/>
          <w:b/>
          <w:sz w:val="24"/>
          <w:szCs w:val="24"/>
        </w:rPr>
      </w:pPr>
      <w:r>
        <w:rPr>
          <w:rFonts w:ascii="Arial Narrow" w:eastAsia="Arial Narrow" w:hAnsi="Arial Narrow" w:cs="Arial Narrow"/>
          <w:b/>
          <w:sz w:val="24"/>
          <w:szCs w:val="24"/>
        </w:rPr>
        <w:t>ANA PAOLA GARCÍA SOTO.</w:t>
      </w:r>
    </w:p>
    <w:p w:rsidR="00DD3391" w:rsidRDefault="00CA2042">
      <w:pPr>
        <w:rPr>
          <w:rFonts w:ascii="Arial Narrow" w:eastAsia="Arial Narrow" w:hAnsi="Arial Narrow" w:cs="Arial Narrow"/>
          <w:sz w:val="24"/>
          <w:szCs w:val="24"/>
        </w:rPr>
      </w:pPr>
      <w:r>
        <w:rPr>
          <w:rFonts w:ascii="Arial Narrow" w:eastAsia="Arial Narrow" w:hAnsi="Arial Narrow" w:cs="Arial Narrow"/>
          <w:sz w:val="24"/>
          <w:szCs w:val="24"/>
        </w:rPr>
        <w:t>Presidenta</w:t>
      </w:r>
    </w:p>
    <w:p w:rsidR="00DD3391" w:rsidRDefault="00CA2042">
      <w:pPr>
        <w:rPr>
          <w:rFonts w:ascii="Arial Narrow" w:eastAsia="Arial Narrow" w:hAnsi="Arial Narrow" w:cs="Arial Narrow"/>
          <w:sz w:val="24"/>
          <w:szCs w:val="24"/>
        </w:rPr>
      </w:pPr>
      <w:r>
        <w:rPr>
          <w:rFonts w:ascii="Arial Narrow" w:eastAsia="Arial Narrow" w:hAnsi="Arial Narrow" w:cs="Arial Narrow"/>
          <w:sz w:val="24"/>
          <w:szCs w:val="24"/>
        </w:rPr>
        <w:t>Comisión Primera Constitucional</w:t>
      </w:r>
    </w:p>
    <w:p w:rsidR="00DD3391" w:rsidRDefault="00CA2042">
      <w:pPr>
        <w:rPr>
          <w:rFonts w:ascii="Arial Narrow" w:eastAsia="Arial Narrow" w:hAnsi="Arial Narrow" w:cs="Arial Narrow"/>
          <w:sz w:val="24"/>
          <w:szCs w:val="24"/>
        </w:rPr>
      </w:pPr>
      <w:r>
        <w:rPr>
          <w:rFonts w:ascii="Arial Narrow" w:eastAsia="Arial Narrow" w:hAnsi="Arial Narrow" w:cs="Arial Narrow"/>
          <w:sz w:val="24"/>
          <w:szCs w:val="24"/>
        </w:rPr>
        <w:t>Cámara de Representantes</w:t>
      </w:r>
    </w:p>
    <w:p w:rsidR="00DD3391" w:rsidRDefault="00CA2042">
      <w:pPr>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DD3391" w:rsidRDefault="00CA2042">
      <w:pPr>
        <w:jc w:val="both"/>
        <w:rPr>
          <w:rFonts w:ascii="Arial Narrow" w:eastAsia="Arial Narrow" w:hAnsi="Arial Narrow" w:cs="Arial Narrow"/>
          <w:sz w:val="24"/>
          <w:szCs w:val="24"/>
        </w:rPr>
      </w:pPr>
      <w:r>
        <w:rPr>
          <w:rFonts w:ascii="Arial Narrow" w:eastAsia="Arial Narrow" w:hAnsi="Arial Narrow" w:cs="Arial Narrow"/>
          <w:b/>
          <w:sz w:val="24"/>
          <w:szCs w:val="24"/>
        </w:rPr>
        <w:t>Asunto</w:t>
      </w:r>
      <w:r>
        <w:rPr>
          <w:rFonts w:ascii="Arial Narrow" w:eastAsia="Arial Narrow" w:hAnsi="Arial Narrow" w:cs="Arial Narrow"/>
          <w:sz w:val="24"/>
          <w:szCs w:val="24"/>
        </w:rPr>
        <w:t xml:space="preserve">: Informe de ponencia para </w:t>
      </w:r>
      <w:r>
        <w:rPr>
          <w:rFonts w:ascii="Arial Narrow" w:eastAsia="Arial Narrow" w:hAnsi="Arial Narrow" w:cs="Arial Narrow"/>
          <w:b/>
          <w:sz w:val="24"/>
          <w:szCs w:val="24"/>
          <w:u w:val="single"/>
        </w:rPr>
        <w:t>Primer Debate</w:t>
      </w:r>
      <w:r>
        <w:rPr>
          <w:rFonts w:ascii="Arial Narrow" w:eastAsia="Arial Narrow" w:hAnsi="Arial Narrow" w:cs="Arial Narrow"/>
          <w:sz w:val="24"/>
          <w:szCs w:val="24"/>
        </w:rPr>
        <w:t xml:space="preserve"> al Proyecto de Ley No. 415 de 2024 Cámara.</w:t>
      </w:r>
    </w:p>
    <w:p w:rsidR="00DD3391" w:rsidRDefault="00DD3391">
      <w:pPr>
        <w:jc w:val="both"/>
        <w:rPr>
          <w:rFonts w:ascii="Arial Narrow" w:eastAsia="Arial Narrow" w:hAnsi="Arial Narrow" w:cs="Arial Narrow"/>
          <w:sz w:val="24"/>
          <w:szCs w:val="24"/>
        </w:rPr>
      </w:pPr>
    </w:p>
    <w:p w:rsidR="00DD3391" w:rsidRDefault="00CA2042">
      <w:pPr>
        <w:jc w:val="both"/>
        <w:rPr>
          <w:rFonts w:ascii="Arial Narrow" w:eastAsia="Arial Narrow" w:hAnsi="Arial Narrow" w:cs="Arial Narrow"/>
          <w:b/>
          <w:sz w:val="24"/>
          <w:szCs w:val="24"/>
        </w:rPr>
      </w:pPr>
      <w:r>
        <w:rPr>
          <w:rFonts w:ascii="Arial Narrow" w:eastAsia="Arial Narrow" w:hAnsi="Arial Narrow" w:cs="Arial Narrow"/>
          <w:b/>
          <w:sz w:val="24"/>
          <w:szCs w:val="24"/>
        </w:rPr>
        <w:t>Honorable Representante:</w:t>
      </w:r>
    </w:p>
    <w:p w:rsidR="00DD3391" w:rsidRDefault="00DD3391">
      <w:pPr>
        <w:jc w:val="both"/>
        <w:rPr>
          <w:rFonts w:ascii="Arial Narrow" w:eastAsia="Arial Narrow" w:hAnsi="Arial Narrow" w:cs="Arial Narrow"/>
          <w:sz w:val="24"/>
          <w:szCs w:val="24"/>
        </w:rPr>
      </w:pPr>
    </w:p>
    <w:p w:rsidR="00DD3391" w:rsidRDefault="00CA2042">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conformidad con el encargo conferido por la Honorable Mesa Directiva de la Comisión Primera Constitucional de la Cámara de Representantes del Congreso de la República y en consonancia con lo prescrito en el artículo 156 de la Ley 5 de 1992, me permito presentar informe de Ponencia para primer debate </w:t>
      </w:r>
      <w:r>
        <w:rPr>
          <w:rFonts w:ascii="Arial Narrow" w:eastAsia="Arial Narrow" w:hAnsi="Arial Narrow" w:cs="Arial Narrow"/>
          <w:b/>
          <w:sz w:val="24"/>
          <w:szCs w:val="24"/>
          <w:u w:val="single"/>
        </w:rPr>
        <w:t>del Proyecto de Ley No. 415 de 2024 Cámara</w:t>
      </w:r>
      <w:r>
        <w:rPr>
          <w:rFonts w:ascii="Arial Narrow" w:eastAsia="Arial Narrow" w:hAnsi="Arial Narrow" w:cs="Arial Narrow"/>
          <w:sz w:val="24"/>
          <w:szCs w:val="24"/>
        </w:rPr>
        <w:t xml:space="preserve"> “Por medio de la cual se establece un Marco de Protección para las personas desplazadas por factores ambientales, se les reconoce como Sujetos de especial protección y se dictan otras disposiciones”. Con base en las siguientes consideraciones: </w:t>
      </w:r>
    </w:p>
    <w:p w:rsidR="00DD3391" w:rsidRDefault="00DD3391">
      <w:pPr>
        <w:jc w:val="both"/>
        <w:rPr>
          <w:rFonts w:ascii="Arial Narrow" w:eastAsia="Arial Narrow" w:hAnsi="Arial Narrow" w:cs="Arial Narrow"/>
          <w:sz w:val="24"/>
          <w:szCs w:val="24"/>
        </w:rPr>
      </w:pPr>
    </w:p>
    <w:p w:rsidR="00DD3391" w:rsidRDefault="00DD3391">
      <w:pPr>
        <w:jc w:val="both"/>
        <w:rPr>
          <w:rFonts w:ascii="Arial Narrow" w:eastAsia="Arial Narrow" w:hAnsi="Arial Narrow" w:cs="Arial Narrow"/>
          <w:sz w:val="24"/>
          <w:szCs w:val="24"/>
        </w:rPr>
      </w:pPr>
    </w:p>
    <w:sdt>
      <w:sdtPr>
        <w:tag w:val="goog_rdk_0"/>
        <w:id w:val="-477149459"/>
        <w:lock w:val="contentLocked"/>
      </w:sdtPr>
      <w:sdtContent>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D3391">
            <w:tc>
              <w:tcPr>
                <w:tcW w:w="4680" w:type="dxa"/>
                <w:shd w:val="clear" w:color="auto" w:fill="auto"/>
                <w:tcMar>
                  <w:top w:w="100" w:type="dxa"/>
                  <w:left w:w="100" w:type="dxa"/>
                  <w:bottom w:w="100" w:type="dxa"/>
                  <w:right w:w="100" w:type="dxa"/>
                </w:tcMar>
              </w:tcPr>
              <w:p w:rsidR="00DD3391" w:rsidRDefault="00CA2042">
                <w:pPr>
                  <w:widowControl w:val="0"/>
                  <w:rPr>
                    <w:rFonts w:ascii="Arial Narrow" w:eastAsia="Arial Narrow" w:hAnsi="Arial Narrow" w:cs="Arial Narrow"/>
                    <w:b/>
                    <w:sz w:val="24"/>
                    <w:szCs w:val="24"/>
                  </w:rPr>
                </w:pPr>
                <w:r>
                  <w:rPr>
                    <w:rFonts w:ascii="Arial Narrow" w:eastAsia="Arial Narrow" w:hAnsi="Arial Narrow" w:cs="Arial Narrow"/>
                    <w:b/>
                    <w:sz w:val="24"/>
                    <w:szCs w:val="24"/>
                  </w:rPr>
                  <w:t xml:space="preserve">Número de Proyecto de Ley </w:t>
                </w:r>
              </w:p>
            </w:tc>
            <w:tc>
              <w:tcPr>
                <w:tcW w:w="4680" w:type="dxa"/>
                <w:shd w:val="clear" w:color="auto" w:fill="auto"/>
                <w:tcMar>
                  <w:top w:w="100" w:type="dxa"/>
                  <w:left w:w="100" w:type="dxa"/>
                  <w:bottom w:w="100" w:type="dxa"/>
                  <w:right w:w="100" w:type="dxa"/>
                </w:tcMar>
              </w:tcPr>
              <w:p w:rsidR="00DD3391" w:rsidRDefault="00CA2042">
                <w:pPr>
                  <w:widowControl w:val="0"/>
                  <w:jc w:val="center"/>
                  <w:rPr>
                    <w:rFonts w:ascii="Arial Narrow" w:eastAsia="Arial Narrow" w:hAnsi="Arial Narrow" w:cs="Arial Narrow"/>
                    <w:b/>
                    <w:sz w:val="24"/>
                    <w:szCs w:val="24"/>
                  </w:rPr>
                </w:pPr>
                <w:r>
                  <w:rPr>
                    <w:rFonts w:ascii="Arial Narrow" w:eastAsia="Arial Narrow" w:hAnsi="Arial Narrow" w:cs="Arial Narrow"/>
                    <w:b/>
                    <w:sz w:val="24"/>
                    <w:szCs w:val="24"/>
                  </w:rPr>
                  <w:t>415 de 2024 Cámara</w:t>
                </w:r>
              </w:p>
            </w:tc>
          </w:tr>
          <w:tr w:rsidR="00DD3391">
            <w:tc>
              <w:tcPr>
                <w:tcW w:w="4680" w:type="dxa"/>
                <w:shd w:val="clear" w:color="auto" w:fill="auto"/>
                <w:tcMar>
                  <w:top w:w="100" w:type="dxa"/>
                  <w:left w:w="100" w:type="dxa"/>
                  <w:bottom w:w="100" w:type="dxa"/>
                  <w:right w:w="100" w:type="dxa"/>
                </w:tcMar>
              </w:tcPr>
              <w:p w:rsidR="00DD3391" w:rsidRDefault="00CA2042">
                <w:pPr>
                  <w:widowControl w:val="0"/>
                  <w:rPr>
                    <w:rFonts w:ascii="Arial Narrow" w:eastAsia="Arial Narrow" w:hAnsi="Arial Narrow" w:cs="Arial Narrow"/>
                    <w:sz w:val="24"/>
                    <w:szCs w:val="24"/>
                  </w:rPr>
                </w:pPr>
                <w:r>
                  <w:rPr>
                    <w:rFonts w:ascii="Arial Narrow" w:eastAsia="Arial Narrow" w:hAnsi="Arial Narrow" w:cs="Arial Narrow"/>
                    <w:sz w:val="24"/>
                    <w:szCs w:val="24"/>
                  </w:rPr>
                  <w:t>Título</w:t>
                </w:r>
              </w:p>
            </w:tc>
            <w:tc>
              <w:tcPr>
                <w:tcW w:w="4680" w:type="dxa"/>
                <w:shd w:val="clear" w:color="auto" w:fill="auto"/>
                <w:tcMar>
                  <w:top w:w="100" w:type="dxa"/>
                  <w:left w:w="100" w:type="dxa"/>
                  <w:bottom w:w="100" w:type="dxa"/>
                  <w:right w:w="100" w:type="dxa"/>
                </w:tcMar>
              </w:tcPr>
              <w:p w:rsidR="00DD3391" w:rsidRDefault="00CA2042">
                <w:pPr>
                  <w:jc w:val="both"/>
                  <w:rPr>
                    <w:rFonts w:ascii="Arial Narrow" w:eastAsia="Arial Narrow" w:hAnsi="Arial Narrow" w:cs="Arial Narrow"/>
                    <w:i/>
                    <w:sz w:val="24"/>
                    <w:szCs w:val="24"/>
                  </w:rPr>
                </w:pPr>
                <w:r>
                  <w:rPr>
                    <w:rFonts w:ascii="Arial Narrow" w:eastAsia="Arial Narrow" w:hAnsi="Arial Narrow" w:cs="Arial Narrow"/>
                    <w:sz w:val="24"/>
                    <w:szCs w:val="24"/>
                  </w:rPr>
                  <w:t>“Por medio de la cual se establece un Marco de Protección para las personas desplazadas por factores ambientales, se les reconoce como Sujetos de especial protección y se dictan otras disposiciones.”</w:t>
                </w:r>
              </w:p>
            </w:tc>
          </w:tr>
          <w:tr w:rsidR="00DD3391">
            <w:tc>
              <w:tcPr>
                <w:tcW w:w="4680" w:type="dxa"/>
                <w:shd w:val="clear" w:color="auto" w:fill="auto"/>
                <w:tcMar>
                  <w:top w:w="100" w:type="dxa"/>
                  <w:left w:w="100" w:type="dxa"/>
                  <w:bottom w:w="100" w:type="dxa"/>
                  <w:right w:w="100" w:type="dxa"/>
                </w:tcMar>
              </w:tcPr>
              <w:p w:rsidR="00DD3391" w:rsidRDefault="00CA2042">
                <w:pPr>
                  <w:widowControl w:val="0"/>
                  <w:rPr>
                    <w:rFonts w:ascii="Arial Narrow" w:eastAsia="Arial Narrow" w:hAnsi="Arial Narrow" w:cs="Arial Narrow"/>
                    <w:sz w:val="24"/>
                    <w:szCs w:val="24"/>
                  </w:rPr>
                </w:pPr>
                <w:r>
                  <w:rPr>
                    <w:rFonts w:ascii="Arial Narrow" w:eastAsia="Arial Narrow" w:hAnsi="Arial Narrow" w:cs="Arial Narrow"/>
                    <w:sz w:val="24"/>
                    <w:szCs w:val="24"/>
                  </w:rPr>
                  <w:t>Autores</w:t>
                </w:r>
              </w:p>
            </w:tc>
            <w:tc>
              <w:tcPr>
                <w:tcW w:w="4680" w:type="dxa"/>
                <w:shd w:val="clear" w:color="auto" w:fill="auto"/>
                <w:tcMar>
                  <w:top w:w="100" w:type="dxa"/>
                  <w:left w:w="100" w:type="dxa"/>
                  <w:bottom w:w="100" w:type="dxa"/>
                  <w:right w:w="100" w:type="dxa"/>
                </w:tcMar>
              </w:tcPr>
              <w:p w:rsidR="00DD3391" w:rsidRDefault="00CA2042">
                <w:pPr>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H.S.</w:t>
                </w:r>
                <w:hyperlink r:id="rId9">
                  <w:r>
                    <w:rPr>
                      <w:rFonts w:ascii="Arial Narrow" w:eastAsia="Arial Narrow" w:hAnsi="Arial Narrow" w:cs="Arial Narrow"/>
                      <w:sz w:val="24"/>
                      <w:szCs w:val="24"/>
                    </w:rPr>
                    <w:t>Robert Daza Guevara</w:t>
                  </w:r>
                </w:hyperlink>
                <w:r>
                  <w:rPr>
                    <w:rFonts w:ascii="Arial Narrow" w:eastAsia="Arial Narrow" w:hAnsi="Arial Narrow" w:cs="Arial Narrow"/>
                    <w:sz w:val="24"/>
                    <w:szCs w:val="24"/>
                  </w:rPr>
                  <w:t xml:space="preserve"> , H.S.</w:t>
                </w:r>
                <w:hyperlink r:id="rId10">
                  <w:r>
                    <w:rPr>
                      <w:rFonts w:ascii="Arial Narrow" w:eastAsia="Arial Narrow" w:hAnsi="Arial Narrow" w:cs="Arial Narrow"/>
                      <w:sz w:val="24"/>
                      <w:szCs w:val="24"/>
                    </w:rPr>
                    <w:t>Pablo Catatumbo Torres Victoria</w:t>
                  </w:r>
                </w:hyperlink>
                <w:r>
                  <w:rPr>
                    <w:rFonts w:ascii="Arial Narrow" w:eastAsia="Arial Narrow" w:hAnsi="Arial Narrow" w:cs="Arial Narrow"/>
                    <w:sz w:val="24"/>
                    <w:szCs w:val="24"/>
                  </w:rPr>
                  <w:t xml:space="preserve"> H.R.</w:t>
                </w:r>
                <w:hyperlink r:id="rId11">
                  <w:r>
                    <w:rPr>
                      <w:rFonts w:ascii="Arial Narrow" w:eastAsia="Arial Narrow" w:hAnsi="Arial Narrow" w:cs="Arial Narrow"/>
                      <w:sz w:val="24"/>
                      <w:szCs w:val="24"/>
                    </w:rPr>
                    <w:t>Jorge Andrés Cancimance López</w:t>
                  </w:r>
                </w:hyperlink>
                <w:r>
                  <w:rPr>
                    <w:rFonts w:ascii="Arial Narrow" w:eastAsia="Arial Narrow" w:hAnsi="Arial Narrow" w:cs="Arial Narrow"/>
                    <w:sz w:val="24"/>
                    <w:szCs w:val="24"/>
                  </w:rPr>
                  <w:t xml:space="preserve"> , H.R.</w:t>
                </w:r>
                <w:hyperlink r:id="rId12">
                  <w:r>
                    <w:rPr>
                      <w:rFonts w:ascii="Arial Narrow" w:eastAsia="Arial Narrow" w:hAnsi="Arial Narrow" w:cs="Arial Narrow"/>
                      <w:sz w:val="24"/>
                      <w:szCs w:val="24"/>
                    </w:rPr>
                    <w:t>Erick Adrián Velasco Burbano</w:t>
                  </w:r>
                </w:hyperlink>
                <w:r>
                  <w:rPr>
                    <w:rFonts w:ascii="Arial Narrow" w:eastAsia="Arial Narrow" w:hAnsi="Arial Narrow" w:cs="Arial Narrow"/>
                    <w:sz w:val="24"/>
                    <w:szCs w:val="24"/>
                  </w:rPr>
                  <w:t xml:space="preserve"> , H.R.</w:t>
                </w:r>
                <w:hyperlink r:id="rId13">
                  <w:r>
                    <w:rPr>
                      <w:rFonts w:ascii="Arial Narrow" w:eastAsia="Arial Narrow" w:hAnsi="Arial Narrow" w:cs="Arial Narrow"/>
                      <w:sz w:val="24"/>
                      <w:szCs w:val="24"/>
                    </w:rPr>
                    <w:t>Pedro José Súarez Vacca</w:t>
                  </w:r>
                </w:hyperlink>
                <w:r>
                  <w:rPr>
                    <w:rFonts w:ascii="Arial Narrow" w:eastAsia="Arial Narrow" w:hAnsi="Arial Narrow" w:cs="Arial Narrow"/>
                    <w:sz w:val="24"/>
                    <w:szCs w:val="24"/>
                  </w:rPr>
                  <w:t xml:space="preserve"> , H.R.</w:t>
                </w:r>
                <w:hyperlink r:id="rId14">
                  <w:r>
                    <w:rPr>
                      <w:rFonts w:ascii="Arial Narrow" w:eastAsia="Arial Narrow" w:hAnsi="Arial Narrow" w:cs="Arial Narrow"/>
                      <w:sz w:val="24"/>
                      <w:szCs w:val="24"/>
                    </w:rPr>
                    <w:t>Etna Tamara Argote Calderón</w:t>
                  </w:r>
                </w:hyperlink>
                <w:r>
                  <w:rPr>
                    <w:rFonts w:ascii="Arial Narrow" w:eastAsia="Arial Narrow" w:hAnsi="Arial Narrow" w:cs="Arial Narrow"/>
                    <w:sz w:val="24"/>
                    <w:szCs w:val="24"/>
                  </w:rPr>
                  <w:t xml:space="preserve"> , H.R.</w:t>
                </w:r>
                <w:hyperlink r:id="rId15">
                  <w:r>
                    <w:rPr>
                      <w:rFonts w:ascii="Arial Narrow" w:eastAsia="Arial Narrow" w:hAnsi="Arial Narrow" w:cs="Arial Narrow"/>
                      <w:sz w:val="24"/>
                      <w:szCs w:val="24"/>
                    </w:rPr>
                    <w:t>Leyla Marleny Rincón Trujillo</w:t>
                  </w:r>
                </w:hyperlink>
                <w:r>
                  <w:rPr>
                    <w:rFonts w:ascii="Arial Narrow" w:eastAsia="Arial Narrow" w:hAnsi="Arial Narrow" w:cs="Arial Narrow"/>
                    <w:sz w:val="24"/>
                    <w:szCs w:val="24"/>
                  </w:rPr>
                  <w:t xml:space="preserve"> , H.R.</w:t>
                </w:r>
                <w:hyperlink r:id="rId16">
                  <w:r>
                    <w:rPr>
                      <w:rFonts w:ascii="Arial Narrow" w:eastAsia="Arial Narrow" w:hAnsi="Arial Narrow" w:cs="Arial Narrow"/>
                      <w:sz w:val="24"/>
                      <w:szCs w:val="24"/>
                    </w:rPr>
                    <w:t>Juan Pablo Salazar Rivera</w:t>
                  </w:r>
                </w:hyperlink>
              </w:p>
            </w:tc>
          </w:tr>
          <w:tr w:rsidR="00DD3391">
            <w:tc>
              <w:tcPr>
                <w:tcW w:w="4680" w:type="dxa"/>
                <w:shd w:val="clear" w:color="auto" w:fill="auto"/>
                <w:tcMar>
                  <w:top w:w="100" w:type="dxa"/>
                  <w:left w:w="100" w:type="dxa"/>
                  <w:bottom w:w="100" w:type="dxa"/>
                  <w:right w:w="100" w:type="dxa"/>
                </w:tcMar>
              </w:tcPr>
              <w:p w:rsidR="00DD3391" w:rsidRDefault="00CA2042">
                <w:pPr>
                  <w:widowControl w:val="0"/>
                  <w:rPr>
                    <w:rFonts w:ascii="Arial Narrow" w:eastAsia="Arial Narrow" w:hAnsi="Arial Narrow" w:cs="Arial Narrow"/>
                    <w:sz w:val="24"/>
                    <w:szCs w:val="24"/>
                  </w:rPr>
                </w:pPr>
                <w:r>
                  <w:rPr>
                    <w:rFonts w:ascii="Arial Narrow" w:eastAsia="Arial Narrow" w:hAnsi="Arial Narrow" w:cs="Arial Narrow"/>
                    <w:sz w:val="24"/>
                    <w:szCs w:val="24"/>
                  </w:rPr>
                  <w:t>Ponentes</w:t>
                </w:r>
              </w:p>
            </w:tc>
            <w:tc>
              <w:tcPr>
                <w:tcW w:w="4680" w:type="dxa"/>
                <w:shd w:val="clear" w:color="auto" w:fill="auto"/>
                <w:tcMar>
                  <w:top w:w="100" w:type="dxa"/>
                  <w:left w:w="100" w:type="dxa"/>
                  <w:bottom w:w="100" w:type="dxa"/>
                  <w:right w:w="100" w:type="dxa"/>
                </w:tcMar>
              </w:tcPr>
              <w:p w:rsidR="00DD3391" w:rsidRDefault="00CA2042">
                <w:pPr>
                  <w:widowControl w:val="0"/>
                  <w:shd w:val="clear" w:color="auto" w:fill="FFFFFF"/>
                  <w:rPr>
                    <w:rFonts w:ascii="Arial Narrow" w:eastAsia="Arial Narrow" w:hAnsi="Arial Narrow" w:cs="Arial Narrow"/>
                    <w:sz w:val="24"/>
                    <w:szCs w:val="24"/>
                  </w:rPr>
                </w:pPr>
                <w:r>
                  <w:rPr>
                    <w:rFonts w:ascii="Arial Narrow" w:eastAsia="Arial Narrow" w:hAnsi="Arial Narrow" w:cs="Arial Narrow"/>
                    <w:sz w:val="24"/>
                    <w:szCs w:val="24"/>
                  </w:rPr>
                  <w:t xml:space="preserve">H.R. </w:t>
                </w:r>
                <w:hyperlink r:id="rId17">
                  <w:r>
                    <w:rPr>
                      <w:rFonts w:ascii="Arial Narrow" w:eastAsia="Arial Narrow" w:hAnsi="Arial Narrow" w:cs="Arial Narrow"/>
                      <w:sz w:val="24"/>
                      <w:szCs w:val="24"/>
                    </w:rPr>
                    <w:t>Pedro José Súarez Vacca</w:t>
                  </w:r>
                </w:hyperlink>
              </w:p>
            </w:tc>
          </w:tr>
          <w:tr w:rsidR="00DD3391">
            <w:tc>
              <w:tcPr>
                <w:tcW w:w="4680" w:type="dxa"/>
                <w:shd w:val="clear" w:color="auto" w:fill="auto"/>
                <w:tcMar>
                  <w:top w:w="100" w:type="dxa"/>
                  <w:left w:w="100" w:type="dxa"/>
                  <w:bottom w:w="100" w:type="dxa"/>
                  <w:right w:w="100" w:type="dxa"/>
                </w:tcMar>
              </w:tcPr>
              <w:p w:rsidR="00DD3391" w:rsidRDefault="00CA2042">
                <w:pPr>
                  <w:widowControl w:val="0"/>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Ponencia </w:t>
                </w:r>
              </w:p>
            </w:tc>
            <w:tc>
              <w:tcPr>
                <w:tcW w:w="4680" w:type="dxa"/>
                <w:shd w:val="clear" w:color="auto" w:fill="auto"/>
                <w:tcMar>
                  <w:top w:w="100" w:type="dxa"/>
                  <w:left w:w="100" w:type="dxa"/>
                  <w:bottom w:w="100" w:type="dxa"/>
                  <w:right w:w="100" w:type="dxa"/>
                </w:tcMar>
              </w:tcPr>
              <w:p w:rsidR="00DD3391" w:rsidRDefault="00CA2042">
                <w:pPr>
                  <w:widowControl w:val="0"/>
                  <w:rPr>
                    <w:rFonts w:ascii="Arial Narrow" w:eastAsia="Arial Narrow" w:hAnsi="Arial Narrow" w:cs="Arial Narrow"/>
                    <w:sz w:val="24"/>
                    <w:szCs w:val="24"/>
                  </w:rPr>
                </w:pPr>
                <w:r>
                  <w:rPr>
                    <w:rFonts w:ascii="Arial Narrow" w:eastAsia="Arial Narrow" w:hAnsi="Arial Narrow" w:cs="Arial Narrow"/>
                    <w:sz w:val="24"/>
                    <w:szCs w:val="24"/>
                  </w:rPr>
                  <w:t>Positiva con pliego de modificaciones.</w:t>
                </w:r>
              </w:p>
            </w:tc>
          </w:tr>
        </w:tbl>
      </w:sdtContent>
    </w:sdt>
    <w:p w:rsidR="00DD3391" w:rsidRDefault="00DD3391">
      <w:pPr>
        <w:shd w:val="clear" w:color="auto" w:fill="FFFFFF"/>
        <w:jc w:val="both"/>
        <w:rPr>
          <w:rFonts w:ascii="Arial Narrow" w:eastAsia="Arial Narrow" w:hAnsi="Arial Narrow" w:cs="Arial Narrow"/>
          <w:color w:val="222222"/>
          <w:sz w:val="24"/>
          <w:szCs w:val="24"/>
        </w:rPr>
      </w:pPr>
    </w:p>
    <w:p w:rsidR="00DD3391" w:rsidRDefault="00DD3391">
      <w:pPr>
        <w:shd w:val="clear" w:color="auto" w:fill="FFFFFF"/>
        <w:jc w:val="both"/>
        <w:rPr>
          <w:rFonts w:ascii="Cambria" w:eastAsia="Cambria" w:hAnsi="Cambria" w:cs="Cambria"/>
          <w:color w:val="222222"/>
          <w:sz w:val="24"/>
          <w:szCs w:val="24"/>
        </w:rPr>
      </w:pPr>
    </w:p>
    <w:p w:rsidR="00DD3391" w:rsidRDefault="00CA2042">
      <w:pPr>
        <w:shd w:val="clear" w:color="auto" w:fill="FFFFFF"/>
        <w:spacing w:after="160"/>
        <w:jc w:val="center"/>
        <w:rPr>
          <w:rFonts w:ascii="Arial Narrow" w:eastAsia="Arial Narrow" w:hAnsi="Arial Narrow" w:cs="Arial Narrow"/>
          <w:b/>
          <w:sz w:val="24"/>
          <w:szCs w:val="24"/>
          <w:highlight w:val="white"/>
        </w:rPr>
      </w:pPr>
      <w:r>
        <w:rPr>
          <w:rFonts w:ascii="Arial Narrow" w:eastAsia="Arial Narrow" w:hAnsi="Arial Narrow" w:cs="Arial Narrow"/>
          <w:b/>
          <w:sz w:val="24"/>
          <w:szCs w:val="24"/>
        </w:rPr>
        <w:t xml:space="preserve">INFORME DE PONENCIA PARA PRIMER DEBATE AL PROYECTO DE </w:t>
      </w:r>
      <w:proofErr w:type="gramStart"/>
      <w:r>
        <w:rPr>
          <w:rFonts w:ascii="Arial Narrow" w:eastAsia="Arial Narrow" w:hAnsi="Arial Narrow" w:cs="Arial Narrow"/>
          <w:b/>
          <w:sz w:val="24"/>
          <w:szCs w:val="24"/>
        </w:rPr>
        <w:t>LEY  No</w:t>
      </w:r>
      <w:proofErr w:type="gramEnd"/>
      <w:r>
        <w:rPr>
          <w:rFonts w:ascii="Arial Narrow" w:eastAsia="Arial Narrow" w:hAnsi="Arial Narrow" w:cs="Arial Narrow"/>
          <w:b/>
          <w:sz w:val="24"/>
          <w:szCs w:val="24"/>
        </w:rPr>
        <w:t xml:space="preserve"> 415 DE 2024 CÁMARA </w:t>
      </w:r>
      <w:r>
        <w:rPr>
          <w:rFonts w:ascii="Arial Narrow" w:eastAsia="Arial Narrow" w:hAnsi="Arial Narrow" w:cs="Arial Narrow"/>
          <w:b/>
          <w:sz w:val="24"/>
          <w:szCs w:val="24"/>
          <w:highlight w:val="white"/>
        </w:rPr>
        <w:t xml:space="preserve">“POR MEDIO DE LA CUAL SE ESTABLECE UN MARCO DE PROTECCIÓN PARA LAS PERSONAS DESPLAZADAS POR FACTORES AMBIENTALES, SE LES RECONOCE COMO SUJETOS DE ESPECIAL PROTECCIÓN Y SE DICTAN OTRAS DISPOSICIONES.” </w:t>
      </w:r>
    </w:p>
    <w:p w:rsidR="00DD3391" w:rsidRDefault="00CA2042">
      <w:pPr>
        <w:shd w:val="clear" w:color="auto" w:fill="FFFFFF"/>
        <w:spacing w:after="160"/>
        <w:jc w:val="center"/>
        <w:rPr>
          <w:rFonts w:ascii="Arial Narrow" w:eastAsia="Arial Narrow" w:hAnsi="Arial Narrow" w:cs="Arial Narrow"/>
          <w:b/>
          <w:sz w:val="24"/>
          <w:szCs w:val="24"/>
          <w:highlight w:val="white"/>
        </w:rPr>
      </w:pPr>
      <w:r>
        <w:rPr>
          <w:rFonts w:ascii="Arial Narrow" w:eastAsia="Arial Narrow" w:hAnsi="Arial Narrow" w:cs="Arial Narrow"/>
          <w:b/>
          <w:sz w:val="24"/>
          <w:szCs w:val="24"/>
          <w:highlight w:val="white"/>
        </w:rPr>
        <w:t>TABLA DE CONTENIDO.</w:t>
      </w:r>
    </w:p>
    <w:p w:rsidR="00DD3391" w:rsidRDefault="00CA2042">
      <w:pPr>
        <w:numPr>
          <w:ilvl w:val="0"/>
          <w:numId w:val="1"/>
        </w:numPr>
        <w:shd w:val="clear" w:color="auto" w:fill="FFFFFF"/>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ANTECEDENTES</w:t>
      </w:r>
    </w:p>
    <w:p w:rsidR="00DD3391" w:rsidRDefault="00CA2042">
      <w:pPr>
        <w:numPr>
          <w:ilvl w:val="0"/>
          <w:numId w:val="1"/>
        </w:numPr>
        <w:shd w:val="clear" w:color="auto" w:fill="FFFFFF"/>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OBJETO DEL PROYECTO DE LEY</w:t>
      </w:r>
    </w:p>
    <w:p w:rsidR="00DD3391" w:rsidRDefault="00CA2042">
      <w:pPr>
        <w:numPr>
          <w:ilvl w:val="0"/>
          <w:numId w:val="1"/>
        </w:numPr>
        <w:shd w:val="clear" w:color="auto" w:fill="FFFFFF"/>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JUSTIFICACIÓN DE LA INICIATIVA</w:t>
      </w:r>
    </w:p>
    <w:p w:rsidR="00DD3391" w:rsidRDefault="00CA2042">
      <w:pPr>
        <w:numPr>
          <w:ilvl w:val="0"/>
          <w:numId w:val="1"/>
        </w:numPr>
        <w:shd w:val="clear" w:color="auto" w:fill="FFFFFF"/>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EL DESPLAZAMIENTO POR FACTORES AMBIENTALES Y POR RAZONES DE DESASTRES</w:t>
      </w:r>
    </w:p>
    <w:p w:rsidR="00DD3391" w:rsidRDefault="00CA2042">
      <w:pPr>
        <w:numPr>
          <w:ilvl w:val="0"/>
          <w:numId w:val="1"/>
        </w:num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MARCO NORMATIVO INTERNACIONAL</w:t>
      </w:r>
    </w:p>
    <w:p w:rsidR="00DD3391" w:rsidRDefault="00CA2042">
      <w:pPr>
        <w:numPr>
          <w:ilvl w:val="0"/>
          <w:numId w:val="1"/>
        </w:num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MARCO NORMATIVO NACIONAL</w:t>
      </w:r>
    </w:p>
    <w:p w:rsidR="00DD3391" w:rsidRDefault="00CA2042">
      <w:pPr>
        <w:numPr>
          <w:ilvl w:val="0"/>
          <w:numId w:val="1"/>
        </w:num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IMPACTO FISCAL.</w:t>
      </w:r>
    </w:p>
    <w:p w:rsidR="00DD3391" w:rsidRDefault="00CA2042">
      <w:pPr>
        <w:numPr>
          <w:ilvl w:val="0"/>
          <w:numId w:val="1"/>
        </w:num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CONFLICTO DE INTERESES</w:t>
      </w:r>
    </w:p>
    <w:p w:rsidR="00DD3391" w:rsidRDefault="00CA2042">
      <w:pPr>
        <w:numPr>
          <w:ilvl w:val="0"/>
          <w:numId w:val="1"/>
        </w:num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 xml:space="preserve">PLIEGO DE MODIFICACIONES </w:t>
      </w:r>
    </w:p>
    <w:p w:rsidR="00DD3391" w:rsidRDefault="00CA2042">
      <w:pPr>
        <w:numPr>
          <w:ilvl w:val="0"/>
          <w:numId w:val="1"/>
        </w:numPr>
        <w:shd w:val="clear" w:color="auto" w:fill="FFFFFF"/>
        <w:spacing w:after="160"/>
        <w:jc w:val="both"/>
        <w:rPr>
          <w:rFonts w:ascii="Arial Narrow" w:eastAsia="Arial Narrow" w:hAnsi="Arial Narrow" w:cs="Arial Narrow"/>
          <w:sz w:val="24"/>
          <w:szCs w:val="24"/>
        </w:rPr>
      </w:pPr>
      <w:r>
        <w:rPr>
          <w:rFonts w:ascii="Arial Narrow" w:eastAsia="Arial Narrow" w:hAnsi="Arial Narrow" w:cs="Arial Narrow"/>
          <w:sz w:val="24"/>
          <w:szCs w:val="24"/>
        </w:rPr>
        <w:t>PROPOSICIÓN</w:t>
      </w:r>
    </w:p>
    <w:p w:rsidR="00DD3391" w:rsidRDefault="00CA2042">
      <w:pPr>
        <w:rPr>
          <w:rFonts w:ascii="Arial Narrow" w:eastAsia="Arial Narrow" w:hAnsi="Arial Narrow" w:cs="Arial Narrow"/>
          <w:b/>
          <w:sz w:val="24"/>
          <w:szCs w:val="24"/>
        </w:rPr>
      </w:pPr>
      <w:r>
        <w:rPr>
          <w:rFonts w:ascii="Arial Narrow" w:eastAsia="Arial Narrow" w:hAnsi="Arial Narrow" w:cs="Arial Narrow"/>
          <w:b/>
          <w:sz w:val="24"/>
          <w:szCs w:val="24"/>
        </w:rPr>
        <w:t>1. ANTECEDENTES.</w:t>
      </w:r>
    </w:p>
    <w:p w:rsidR="00DD3391" w:rsidRDefault="00DD3391">
      <w:pPr>
        <w:rPr>
          <w:rFonts w:ascii="Arial Narrow" w:eastAsia="Arial Narrow" w:hAnsi="Arial Narrow" w:cs="Arial Narrow"/>
          <w:b/>
          <w:sz w:val="24"/>
          <w:szCs w:val="24"/>
        </w:rPr>
      </w:pPr>
    </w:p>
    <w:p w:rsidR="00DD3391" w:rsidRDefault="00CA2042">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30 de octubre de 2024 fue radicado el Proyecto de Ley 415 del 2024 Cámara “Por medio de la cual se establece un Marco de Protección para las personas desplazadas por factores ambientales, se les reconoce como Sujetos de especial protección y se dictan otras disposiciones.” por los y las congresistas </w:t>
      </w:r>
      <w:proofErr w:type="spellStart"/>
      <w:r>
        <w:rPr>
          <w:rFonts w:ascii="Arial Narrow" w:eastAsia="Arial Narrow" w:hAnsi="Arial Narrow" w:cs="Arial Narrow"/>
          <w:sz w:val="24"/>
          <w:szCs w:val="24"/>
        </w:rPr>
        <w:t>H.S.</w:t>
      </w:r>
      <w:hyperlink r:id="rId18">
        <w:r>
          <w:rPr>
            <w:rFonts w:ascii="Arial Narrow" w:eastAsia="Arial Narrow" w:hAnsi="Arial Narrow" w:cs="Arial Narrow"/>
            <w:sz w:val="24"/>
            <w:szCs w:val="24"/>
          </w:rPr>
          <w:t>Robert</w:t>
        </w:r>
        <w:proofErr w:type="spellEnd"/>
        <w:r>
          <w:rPr>
            <w:rFonts w:ascii="Arial Narrow" w:eastAsia="Arial Narrow" w:hAnsi="Arial Narrow" w:cs="Arial Narrow"/>
            <w:sz w:val="24"/>
            <w:szCs w:val="24"/>
          </w:rPr>
          <w:t xml:space="preserve"> Daza Guevara</w:t>
        </w:r>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H.S.</w:t>
      </w:r>
      <w:hyperlink r:id="rId19">
        <w:r>
          <w:rPr>
            <w:rFonts w:ascii="Arial Narrow" w:eastAsia="Arial Narrow" w:hAnsi="Arial Narrow" w:cs="Arial Narrow"/>
            <w:sz w:val="24"/>
            <w:szCs w:val="24"/>
          </w:rPr>
          <w:t>Pablo</w:t>
        </w:r>
        <w:proofErr w:type="spellEnd"/>
        <w:r>
          <w:rPr>
            <w:rFonts w:ascii="Arial Narrow" w:eastAsia="Arial Narrow" w:hAnsi="Arial Narrow" w:cs="Arial Narrow"/>
            <w:sz w:val="24"/>
            <w:szCs w:val="24"/>
          </w:rPr>
          <w:t xml:space="preserve"> Catatumbo Torres Victoria</w:t>
        </w:r>
      </w:hyperlink>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H.R.</w:t>
      </w:r>
      <w:hyperlink r:id="rId20">
        <w:r>
          <w:rPr>
            <w:rFonts w:ascii="Arial Narrow" w:eastAsia="Arial Narrow" w:hAnsi="Arial Narrow" w:cs="Arial Narrow"/>
            <w:sz w:val="24"/>
            <w:szCs w:val="24"/>
          </w:rPr>
          <w:t>Jorge</w:t>
        </w:r>
        <w:proofErr w:type="spellEnd"/>
        <w:r>
          <w:rPr>
            <w:rFonts w:ascii="Arial Narrow" w:eastAsia="Arial Narrow" w:hAnsi="Arial Narrow" w:cs="Arial Narrow"/>
            <w:sz w:val="24"/>
            <w:szCs w:val="24"/>
          </w:rPr>
          <w:t xml:space="preserve"> Andrés </w:t>
        </w:r>
        <w:proofErr w:type="spellStart"/>
        <w:r>
          <w:rPr>
            <w:rFonts w:ascii="Arial Narrow" w:eastAsia="Arial Narrow" w:hAnsi="Arial Narrow" w:cs="Arial Narrow"/>
            <w:sz w:val="24"/>
            <w:szCs w:val="24"/>
          </w:rPr>
          <w:t>Cancimance</w:t>
        </w:r>
        <w:proofErr w:type="spellEnd"/>
        <w:r>
          <w:rPr>
            <w:rFonts w:ascii="Arial Narrow" w:eastAsia="Arial Narrow" w:hAnsi="Arial Narrow" w:cs="Arial Narrow"/>
            <w:sz w:val="24"/>
            <w:szCs w:val="24"/>
          </w:rPr>
          <w:t xml:space="preserve"> López</w:t>
        </w:r>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H.R.</w:t>
      </w:r>
      <w:hyperlink r:id="rId21">
        <w:r>
          <w:rPr>
            <w:rFonts w:ascii="Arial Narrow" w:eastAsia="Arial Narrow" w:hAnsi="Arial Narrow" w:cs="Arial Narrow"/>
            <w:sz w:val="24"/>
            <w:szCs w:val="24"/>
          </w:rPr>
          <w:t>Erick</w:t>
        </w:r>
        <w:proofErr w:type="spellEnd"/>
        <w:r>
          <w:rPr>
            <w:rFonts w:ascii="Arial Narrow" w:eastAsia="Arial Narrow" w:hAnsi="Arial Narrow" w:cs="Arial Narrow"/>
            <w:sz w:val="24"/>
            <w:szCs w:val="24"/>
          </w:rPr>
          <w:t xml:space="preserve"> Adrián Velasco Burbano</w:t>
        </w:r>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H.R.</w:t>
      </w:r>
      <w:hyperlink r:id="rId22">
        <w:r>
          <w:rPr>
            <w:rFonts w:ascii="Arial Narrow" w:eastAsia="Arial Narrow" w:hAnsi="Arial Narrow" w:cs="Arial Narrow"/>
            <w:sz w:val="24"/>
            <w:szCs w:val="24"/>
          </w:rPr>
          <w:t>Pedro</w:t>
        </w:r>
        <w:proofErr w:type="spellEnd"/>
        <w:r>
          <w:rPr>
            <w:rFonts w:ascii="Arial Narrow" w:eastAsia="Arial Narrow" w:hAnsi="Arial Narrow" w:cs="Arial Narrow"/>
            <w:sz w:val="24"/>
            <w:szCs w:val="24"/>
          </w:rPr>
          <w:t xml:space="preserve"> José </w:t>
        </w:r>
        <w:proofErr w:type="spellStart"/>
        <w:r>
          <w:rPr>
            <w:rFonts w:ascii="Arial Narrow" w:eastAsia="Arial Narrow" w:hAnsi="Arial Narrow" w:cs="Arial Narrow"/>
            <w:sz w:val="24"/>
            <w:szCs w:val="24"/>
          </w:rPr>
          <w:t>Súarez</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Vacca</w:t>
        </w:r>
        <w:proofErr w:type="spellEnd"/>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H.R.</w:t>
      </w:r>
      <w:hyperlink r:id="rId23">
        <w:r>
          <w:rPr>
            <w:rFonts w:ascii="Arial Narrow" w:eastAsia="Arial Narrow" w:hAnsi="Arial Narrow" w:cs="Arial Narrow"/>
            <w:sz w:val="24"/>
            <w:szCs w:val="24"/>
          </w:rPr>
          <w:t>Etna</w:t>
        </w:r>
        <w:proofErr w:type="spellEnd"/>
        <w:r>
          <w:rPr>
            <w:rFonts w:ascii="Arial Narrow" w:eastAsia="Arial Narrow" w:hAnsi="Arial Narrow" w:cs="Arial Narrow"/>
            <w:sz w:val="24"/>
            <w:szCs w:val="24"/>
          </w:rPr>
          <w:t xml:space="preserve"> Tamara </w:t>
        </w:r>
        <w:proofErr w:type="spellStart"/>
        <w:r>
          <w:rPr>
            <w:rFonts w:ascii="Arial Narrow" w:eastAsia="Arial Narrow" w:hAnsi="Arial Narrow" w:cs="Arial Narrow"/>
            <w:sz w:val="24"/>
            <w:szCs w:val="24"/>
          </w:rPr>
          <w:t>Argote</w:t>
        </w:r>
        <w:proofErr w:type="spellEnd"/>
        <w:r>
          <w:rPr>
            <w:rFonts w:ascii="Arial Narrow" w:eastAsia="Arial Narrow" w:hAnsi="Arial Narrow" w:cs="Arial Narrow"/>
            <w:sz w:val="24"/>
            <w:szCs w:val="24"/>
          </w:rPr>
          <w:t xml:space="preserve"> Calderón</w:t>
        </w:r>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H.R.</w:t>
      </w:r>
      <w:hyperlink r:id="rId24">
        <w:r>
          <w:rPr>
            <w:rFonts w:ascii="Arial Narrow" w:eastAsia="Arial Narrow" w:hAnsi="Arial Narrow" w:cs="Arial Narrow"/>
            <w:sz w:val="24"/>
            <w:szCs w:val="24"/>
          </w:rPr>
          <w:t>Leyla</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Marleny</w:t>
        </w:r>
        <w:proofErr w:type="spellEnd"/>
        <w:r>
          <w:rPr>
            <w:rFonts w:ascii="Arial Narrow" w:eastAsia="Arial Narrow" w:hAnsi="Arial Narrow" w:cs="Arial Narrow"/>
            <w:sz w:val="24"/>
            <w:szCs w:val="24"/>
          </w:rPr>
          <w:t xml:space="preserve"> Rincón Trujillo</w:t>
        </w:r>
      </w:hyperlink>
      <w:r>
        <w:rPr>
          <w:rFonts w:ascii="Arial Narrow" w:eastAsia="Arial Narrow" w:hAnsi="Arial Narrow" w:cs="Arial Narrow"/>
          <w:sz w:val="24"/>
          <w:szCs w:val="24"/>
        </w:rPr>
        <w:t xml:space="preserve">  y </w:t>
      </w:r>
      <w:proofErr w:type="spellStart"/>
      <w:r>
        <w:rPr>
          <w:rFonts w:ascii="Arial Narrow" w:eastAsia="Arial Narrow" w:hAnsi="Arial Narrow" w:cs="Arial Narrow"/>
          <w:sz w:val="24"/>
          <w:szCs w:val="24"/>
        </w:rPr>
        <w:t>H.R.</w:t>
      </w:r>
      <w:hyperlink r:id="rId25">
        <w:r>
          <w:rPr>
            <w:rFonts w:ascii="Arial Narrow" w:eastAsia="Arial Narrow" w:hAnsi="Arial Narrow" w:cs="Arial Narrow"/>
            <w:sz w:val="24"/>
            <w:szCs w:val="24"/>
          </w:rPr>
          <w:t>Juan</w:t>
        </w:r>
        <w:proofErr w:type="spellEnd"/>
        <w:r>
          <w:rPr>
            <w:rFonts w:ascii="Arial Narrow" w:eastAsia="Arial Narrow" w:hAnsi="Arial Narrow" w:cs="Arial Narrow"/>
            <w:sz w:val="24"/>
            <w:szCs w:val="24"/>
          </w:rPr>
          <w:t xml:space="preserve"> Pablo Salazar Rivera</w:t>
        </w:r>
      </w:hyperlink>
      <w:r>
        <w:rPr>
          <w:rFonts w:ascii="Arial Narrow" w:eastAsia="Arial Narrow" w:hAnsi="Arial Narrow" w:cs="Arial Narrow"/>
          <w:sz w:val="24"/>
          <w:szCs w:val="24"/>
        </w:rPr>
        <w:t>. Posteriormente, el día 26 de noviembre, la Mesa Directiva de la Comisión Primera Constitucional Permanente de la Cámara de Representantes me designó como ponente único.</w:t>
      </w:r>
    </w:p>
    <w:p w:rsidR="00DD3391" w:rsidRDefault="00DD3391">
      <w:pPr>
        <w:jc w:val="both"/>
        <w:rPr>
          <w:rFonts w:ascii="Arial Narrow" w:eastAsia="Arial Narrow" w:hAnsi="Arial Narrow" w:cs="Arial Narrow"/>
          <w:sz w:val="24"/>
          <w:szCs w:val="24"/>
        </w:rPr>
      </w:pPr>
    </w:p>
    <w:p w:rsidR="00DD3391" w:rsidRDefault="00CA2042">
      <w:pPr>
        <w:rPr>
          <w:rFonts w:ascii="Arial Narrow" w:eastAsia="Arial Narrow" w:hAnsi="Arial Narrow" w:cs="Arial Narrow"/>
          <w:sz w:val="24"/>
          <w:szCs w:val="24"/>
        </w:rPr>
      </w:pPr>
      <w:r>
        <w:rPr>
          <w:rFonts w:ascii="Arial Narrow" w:eastAsia="Arial Narrow" w:hAnsi="Arial Narrow" w:cs="Arial Narrow"/>
          <w:b/>
          <w:sz w:val="24"/>
          <w:szCs w:val="24"/>
        </w:rPr>
        <w:t>2. OBJETO DEL PROYECTO DE LEY</w:t>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presente proyecto de ley tiene como objeto, establecer un marco de protección para las personas desplazadas por factores ambientales, reconocerlos como Sujetos de especial protección, y definir las obligaciones que le corresponden al Estado para afrontar el desplazamiento, adoptando medidas de protección y atención antes, durante y posterior al desplazamiento, desde un enfoque integral de derechos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Con el fin de dar cumplimiento al objeto planteado, se integran principios, enfoques, definiciones</w:t>
      </w:r>
      <w:r>
        <w:rPr>
          <w:rStyle w:val="Refdenotaalpie"/>
          <w:rFonts w:ascii="Arial Narrow" w:eastAsia="Arial Narrow" w:hAnsi="Arial Narrow" w:cs="Arial Narrow"/>
          <w:sz w:val="24"/>
          <w:szCs w:val="24"/>
        </w:rPr>
        <w:footnoteReference w:id="1"/>
      </w:r>
      <w:r>
        <w:rPr>
          <w:rFonts w:ascii="Arial Narrow" w:eastAsia="Arial Narrow" w:hAnsi="Arial Narrow" w:cs="Arial Narrow"/>
          <w:sz w:val="24"/>
          <w:szCs w:val="24"/>
        </w:rPr>
        <w:t xml:space="preserve"> y se establecen las obligaciones que tiene el Estado para afrontar el Desplazamiento por factores ambientales y garantizar los derechos de las personas desplazadas </w:t>
      </w:r>
    </w:p>
    <w:p w:rsidR="00DD3391" w:rsidRDefault="00CA2042">
      <w:pPr>
        <w:rPr>
          <w:rFonts w:ascii="Arial Narrow" w:eastAsia="Arial Narrow" w:hAnsi="Arial Narrow" w:cs="Arial Narrow"/>
          <w:sz w:val="24"/>
          <w:szCs w:val="24"/>
        </w:rPr>
      </w:pPr>
      <w:r>
        <w:rPr>
          <w:rFonts w:ascii="Arial Narrow" w:eastAsia="Arial Narrow" w:hAnsi="Arial Narrow" w:cs="Arial Narrow"/>
          <w:b/>
          <w:sz w:val="24"/>
          <w:szCs w:val="24"/>
        </w:rPr>
        <w:t>3. JUSTIFICACIÓN DE LA INICIATIVA</w:t>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La Corte Constitucional determinó recientemente, que en Colombia existe un Déficit de protección Constitucional frente a las personas desplazadas por factores ambientales. Este déficit de protección se debe, según la Corte, a diversos factores</w:t>
      </w:r>
      <w:r>
        <w:rPr>
          <w:rStyle w:val="Refdenotaalpie"/>
          <w:rFonts w:ascii="Arial Narrow" w:eastAsia="Arial Narrow" w:hAnsi="Arial Narrow" w:cs="Arial Narrow"/>
          <w:sz w:val="24"/>
          <w:szCs w:val="24"/>
        </w:rPr>
        <w:footnoteReference w:id="2"/>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 Primero, el sistema de atención y reparación integral a las víctimas de desplazamiento forzado por causa del conflicto armado y la violencia no incluye a quienes hayan tenido que desplazarse por desastres, hechos asociados al cambio climático o a la degradación ambiental. Sin embargo, esa regulación demuestra la necesidad de un enfoque integral de atención y restablecimiento de derechos para los desplazados por factores ambientales, debido al compromiso de sus derechos fundamentales.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Segundo, algunas medidas en la legislación de cambio climático y en la regulación del sistema de gestión de riesgos de desastres pueden ser utilizadas para la atención de las víctimas de desplazamiento forzado por razones ambientales. Sin embargo, son limitadas en tanto no reconocen el fenómeno de desplazamiento forzado por razones ambientales y, por lo tanto, no comprenden ni atienden de forma integral ese fenómeno.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Tercero, no existe en Colombia un marco jurídico específico para la atención integral, protección y garantía de los derechos de las personas desplazadas por factores ambientales”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Desde una perspectiva de derechos la jurisprudencia ha establecido que, “el hecho mismo del desplazamiento constituye un grave atentado en contra de un sinnúmero de derechos fundamentales tales como el derecho a la seguridad, a la integridad personal, a la residencia, a la libre locomoción, al libre desarrollo de la personalidad, al mínimo vital, entre otros. Sin embargo, la vulneración de los derechos fundamentales de esta población no se da sólo con ocasión del hecho violento que la obliga a huir de su lugar de residencia. En realidad, la falta de protección pos desplazamiento –período de emergencia o de restablecimiento– es lo que ubica a este grupo poblacional en una especial situación de vulnerabilidad que le impide sobrevivir en condiciones mínimas de dignidad</w:t>
      </w:r>
      <w:r>
        <w:rPr>
          <w:rFonts w:ascii="Arial Narrow" w:eastAsia="Arial Narrow" w:hAnsi="Arial Narrow" w:cs="Arial Narrow"/>
          <w:b/>
          <w:sz w:val="24"/>
          <w:szCs w:val="24"/>
        </w:rPr>
        <w:t>”</w:t>
      </w:r>
      <w:r>
        <w:rPr>
          <w:rStyle w:val="Refdenotaalpie"/>
          <w:rFonts w:ascii="Arial Narrow" w:eastAsia="Arial Narrow" w:hAnsi="Arial Narrow" w:cs="Arial Narrow"/>
          <w:b/>
          <w:sz w:val="24"/>
          <w:szCs w:val="24"/>
        </w:rPr>
        <w:footnoteReference w:id="3"/>
      </w:r>
      <w:r>
        <w:rPr>
          <w:rFonts w:ascii="Arial Narrow" w:eastAsia="Arial Narrow" w:hAnsi="Arial Narrow" w:cs="Arial Narrow"/>
          <w:sz w:val="24"/>
          <w:szCs w:val="24"/>
        </w:rPr>
        <w:t xml:space="preserve"> y en particular ha reiterado que “El desplazamiento por factores ambientales, al igual que el generado por el conflicto armado, amenaza y compromete de manera compleja el ejercicio de los derechos de las personas, y es una situación que </w:t>
      </w:r>
      <w:r>
        <w:rPr>
          <w:rFonts w:ascii="Arial Narrow" w:eastAsia="Arial Narrow" w:hAnsi="Arial Narrow" w:cs="Arial Narrow"/>
          <w:sz w:val="24"/>
          <w:szCs w:val="24"/>
        </w:rPr>
        <w:lastRenderedPageBreak/>
        <w:t>también debe ser enfrentada por el Estado con prontitud”</w:t>
      </w:r>
      <w:r>
        <w:rPr>
          <w:rStyle w:val="Refdenotaalpie"/>
          <w:rFonts w:ascii="Arial Narrow" w:eastAsia="Arial Narrow" w:hAnsi="Arial Narrow" w:cs="Arial Narrow"/>
          <w:sz w:val="24"/>
          <w:szCs w:val="24"/>
        </w:rPr>
        <w:footnoteReference w:id="4"/>
      </w:r>
      <w:r>
        <w:rPr>
          <w:rFonts w:ascii="Arial Narrow" w:eastAsia="Arial Narrow" w:hAnsi="Arial Narrow" w:cs="Arial Narrow"/>
          <w:sz w:val="24"/>
          <w:szCs w:val="24"/>
        </w:rPr>
        <w:t xml:space="preserve"> Pese a ello,  el país aún no cuenta con un Marco de Protección adecuado y pertinente para este tipo de desplazamiento que garantice de forma integral los derechos de las personas desplazadas por factores climáticos y fortalezca la respuesta estatal.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Precisamente, en relación al desplazamiento por causa de desastres y factores ambientales, la Corte Constitucional haciendo referencia a la legislación en materia de gestión del riesgo de desastres, anota que “(…)  se trata de un marco limitado, pues sólo abarca a quienes son víctimas de desastres, más no a quienes deben desplazarse por factores complejos como la degradación ambiental o fenómenos de evolución lenta. (…) Es decir que, aunque hay una protección jurídica, existe todavía un vacío legal y regulatorio respecto del fenómeno de desplazamiento forzado por razones ambientales que es necesario resolver. Por ello, los remedios jurídicos definidos por la Corte en este caso se adoptan a la luz de dicho déficit, pero también en consideración de las garantías constitucionales y la protección que el derecho internacional ofrece a los desplazados forzados internos, incluidos, a quienes lo hacen por factores ambientales.”</w:t>
      </w:r>
      <w:r>
        <w:rPr>
          <w:rStyle w:val="Refdenotaalpie"/>
          <w:rFonts w:ascii="Arial Narrow" w:eastAsia="Arial Narrow" w:hAnsi="Arial Narrow" w:cs="Arial Narrow"/>
          <w:sz w:val="24"/>
          <w:szCs w:val="24"/>
        </w:rPr>
        <w:footnoteReference w:id="5"/>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otro lado, los desarrollos constitucionales y el marco internacional, establecen niveles mínimos de protección a la población desplazada, reconociéndolos como sujetos de especial protección constitucional debido a su condición de especial vulnerabilidad. En particular, frente a la población desplazada por factores ambientales, la Corte dice: “esta Corporación ha enfatizado en los derechos de la población desplazada, y algunas decisiones que muestran que el tema del desplazamiento por factores ambientales no solo no le ha sido ajena, </w:t>
      </w:r>
      <w:r>
        <w:rPr>
          <w:rFonts w:ascii="Arial Narrow" w:eastAsia="Arial Narrow" w:hAnsi="Arial Narrow" w:cs="Arial Narrow"/>
          <w:sz w:val="24"/>
          <w:szCs w:val="24"/>
          <w:u w:val="single"/>
        </w:rPr>
        <w:t>sino que ha llevado a que la Corporación reconozca que quienes se ven forzados a movilizarse por desastres, factores asociados al cambio climático y la degradación ambiental, se encuentran en situación de vulnerabilidad y requieren del Estado protección especial</w:t>
      </w:r>
      <w:r>
        <w:rPr>
          <w:rFonts w:ascii="Arial Narrow" w:eastAsia="Arial Narrow" w:hAnsi="Arial Narrow" w:cs="Arial Narrow"/>
          <w:sz w:val="24"/>
          <w:szCs w:val="24"/>
        </w:rPr>
        <w:t>”</w:t>
      </w:r>
      <w:r>
        <w:rPr>
          <w:rStyle w:val="Refdenotaalpie"/>
          <w:rFonts w:ascii="Arial Narrow" w:eastAsia="Arial Narrow" w:hAnsi="Arial Narrow" w:cs="Arial Narrow"/>
          <w:sz w:val="24"/>
          <w:szCs w:val="24"/>
        </w:rPr>
        <w:footnoteReference w:id="6"/>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Es por esto que, ante el déficit de protección y la ausencia de un marco normativo especial en materia de desplazamiento forzado por factores ambientales, la Corte exhorta al Congreso de la República y al Gobierno nacional “para que desarrolle un marco normativo para enfrentar el fenómeno del desplazamiento forzado interno por factores ambientales con enfoque diferencial y que atienda las obligaciones del Estado”</w:t>
      </w:r>
      <w:r>
        <w:rPr>
          <w:rStyle w:val="Refdenotaalpie"/>
          <w:rFonts w:ascii="Arial Narrow" w:eastAsia="Arial Narrow" w:hAnsi="Arial Narrow" w:cs="Arial Narrow"/>
          <w:sz w:val="24"/>
          <w:szCs w:val="24"/>
        </w:rPr>
        <w:footnoteReference w:id="7"/>
      </w:r>
      <w:r>
        <w:rPr>
          <w:rFonts w:ascii="Arial Narrow" w:eastAsia="Arial Narrow" w:hAnsi="Arial Narrow" w:cs="Arial Narrow"/>
          <w:sz w:val="24"/>
          <w:szCs w:val="24"/>
        </w:rPr>
        <w:t>. Esta iniciativa pretende entonces, contribuir en la ejecución de este mandato a fin de que el Estado subsane “(…) la situación de incumplimiento de sus deberes constitucionales de garantía de los derechos fundamentales de las personas desplazadas”</w:t>
      </w:r>
      <w:r>
        <w:rPr>
          <w:rStyle w:val="Refdenotaalpie"/>
          <w:rFonts w:ascii="Arial Narrow" w:eastAsia="Arial Narrow" w:hAnsi="Arial Narrow" w:cs="Arial Narrow"/>
          <w:sz w:val="24"/>
          <w:szCs w:val="24"/>
        </w:rPr>
        <w:footnoteReference w:id="8"/>
      </w:r>
      <w:r>
        <w:rPr>
          <w:rFonts w:ascii="Arial Narrow" w:eastAsia="Arial Narrow" w:hAnsi="Arial Narrow" w:cs="Arial Narrow"/>
          <w:sz w:val="24"/>
          <w:szCs w:val="24"/>
        </w:rPr>
        <w:t xml:space="preserve"> por factores ambientales en Colombia. </w:t>
      </w:r>
    </w:p>
    <w:p w:rsidR="004B45F5" w:rsidRDefault="004B45F5">
      <w:pPr>
        <w:shd w:val="clear" w:color="auto" w:fill="FFFFFF"/>
        <w:spacing w:after="200"/>
        <w:jc w:val="both"/>
        <w:rPr>
          <w:rFonts w:ascii="Arial Narrow" w:eastAsia="Arial Narrow" w:hAnsi="Arial Narrow" w:cs="Arial Narrow"/>
          <w:sz w:val="24"/>
          <w:szCs w:val="24"/>
        </w:rPr>
      </w:pPr>
    </w:p>
    <w:p w:rsidR="004B45F5" w:rsidRDefault="004B45F5">
      <w:pPr>
        <w:shd w:val="clear" w:color="auto" w:fill="FFFFFF"/>
        <w:spacing w:after="200"/>
        <w:jc w:val="both"/>
        <w:rPr>
          <w:rFonts w:ascii="Arial Narrow" w:eastAsia="Arial Narrow" w:hAnsi="Arial Narrow" w:cs="Arial Narrow"/>
          <w:sz w:val="24"/>
          <w:szCs w:val="24"/>
        </w:rPr>
      </w:pPr>
    </w:p>
    <w:p w:rsidR="004B45F5" w:rsidRDefault="004B45F5">
      <w:pPr>
        <w:shd w:val="clear" w:color="auto" w:fill="FFFFFF"/>
        <w:spacing w:after="200"/>
        <w:jc w:val="both"/>
        <w:rPr>
          <w:rFonts w:ascii="Arial Narrow" w:eastAsia="Arial Narrow" w:hAnsi="Arial Narrow" w:cs="Arial Narrow"/>
          <w:sz w:val="24"/>
          <w:szCs w:val="24"/>
        </w:rPr>
      </w:pPr>
    </w:p>
    <w:p w:rsidR="00DD3391" w:rsidRDefault="00CA2042">
      <w:pPr>
        <w:rPr>
          <w:rFonts w:ascii="Arial Narrow" w:eastAsia="Arial Narrow" w:hAnsi="Arial Narrow" w:cs="Arial Narrow"/>
          <w:sz w:val="24"/>
          <w:szCs w:val="24"/>
        </w:rPr>
      </w:pPr>
      <w:r>
        <w:rPr>
          <w:rFonts w:ascii="Arial Narrow" w:eastAsia="Arial Narrow" w:hAnsi="Arial Narrow" w:cs="Arial Narrow"/>
          <w:b/>
          <w:sz w:val="24"/>
          <w:szCs w:val="24"/>
        </w:rPr>
        <w:t>4. EL DESPLAZAMIENTO POR FACTORES AMBIENTALES Y POR CAUSA DE DESASTRES</w:t>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Según la OIM, en 2022 el desplazamiento forzado por desastres y cambio climático fue 41% mayor a los últimos diez años</w:t>
      </w:r>
      <w:r>
        <w:rPr>
          <w:rStyle w:val="Refdenotaalpie"/>
          <w:rFonts w:ascii="Arial Narrow" w:eastAsia="Arial Narrow" w:hAnsi="Arial Narrow" w:cs="Arial Narrow"/>
          <w:sz w:val="24"/>
          <w:szCs w:val="24"/>
        </w:rPr>
        <w:footnoteReference w:id="9"/>
      </w:r>
      <w:r>
        <w:rPr>
          <w:rFonts w:ascii="Arial Narrow" w:eastAsia="Arial Narrow" w:hAnsi="Arial Narrow" w:cs="Arial Narrow"/>
          <w:sz w:val="24"/>
          <w:szCs w:val="24"/>
        </w:rPr>
        <w:t xml:space="preserve"> y los desplazados ambientales superaron a los desplazados por violencia en 2019, afectando a más Estados de la región. En las Américas, el desplazamiento representó el 7.5% del total global de 2,091,000 personas, con una prevalencia de la movilización por desastres (1,687,000 personas) en comparación con los conflictos (404,000 personas)</w:t>
      </w:r>
      <w:r>
        <w:rPr>
          <w:rStyle w:val="Refdenotaalpie"/>
          <w:rFonts w:ascii="Arial Narrow" w:eastAsia="Arial Narrow" w:hAnsi="Arial Narrow" w:cs="Arial Narrow"/>
          <w:sz w:val="24"/>
          <w:szCs w:val="24"/>
        </w:rPr>
        <w:footnoteReference w:id="10"/>
      </w:r>
      <w:r>
        <w:rPr>
          <w:rFonts w:ascii="Arial Narrow" w:eastAsia="Arial Narrow" w:hAnsi="Arial Narrow" w:cs="Arial Narrow"/>
          <w:sz w:val="24"/>
          <w:szCs w:val="24"/>
        </w:rPr>
        <w:t xml:space="preserve">; Adriana </w:t>
      </w:r>
      <w:proofErr w:type="spellStart"/>
      <w:r>
        <w:rPr>
          <w:rFonts w:ascii="Arial Narrow" w:eastAsia="Arial Narrow" w:hAnsi="Arial Narrow" w:cs="Arial Narrow"/>
          <w:sz w:val="24"/>
          <w:szCs w:val="24"/>
        </w:rPr>
        <w:t>Buchelli</w:t>
      </w:r>
      <w:proofErr w:type="spellEnd"/>
      <w:r>
        <w:rPr>
          <w:rFonts w:ascii="Arial Narrow" w:eastAsia="Arial Narrow" w:hAnsi="Arial Narrow" w:cs="Arial Narrow"/>
          <w:sz w:val="24"/>
          <w:szCs w:val="24"/>
        </w:rPr>
        <w:t>, de la Oficina de ACNUR en Colombia señaló “que más del 60 % de las personas desplazadas a nivel mundial son de países altamente vulnerables al cambio climático, como Afganistán y Siria, grupo del que también haría parte Colombia” (…) “ACNUR predice que, en el 2050, los desplazados por cuestiones ambientales oscilarán entre 9.4 millones y 17.1 millones de personas en América Latina (hasta el 2.6 % de la población total de la región). Así que, en el contexto actual de la crisis climática, los Estados de América Latina deben implementar acciones urgentes y coordinadas a nivel regional e internacional para abordar de manera integral el desplazamiento ambiental”.</w:t>
      </w:r>
      <w:r w:rsidR="004B45F5">
        <w:rPr>
          <w:rStyle w:val="Refdenotaalpie"/>
          <w:rFonts w:ascii="Arial Narrow" w:eastAsia="Arial Narrow" w:hAnsi="Arial Narrow" w:cs="Arial Narrow"/>
          <w:sz w:val="24"/>
          <w:szCs w:val="24"/>
        </w:rPr>
        <w:footnoteReference w:id="11"/>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La Corte Constitucional, tras reconocer la existencia de desplazamiento forzado por factores ambientales en Colombia</w:t>
      </w:r>
      <w:r w:rsidR="004B45F5">
        <w:rPr>
          <w:rStyle w:val="Refdenotaalpie"/>
          <w:rFonts w:ascii="Arial Narrow" w:eastAsia="Arial Narrow" w:hAnsi="Arial Narrow" w:cs="Arial Narrow"/>
          <w:sz w:val="24"/>
          <w:szCs w:val="24"/>
        </w:rPr>
        <w:footnoteReference w:id="12"/>
      </w:r>
      <w:r>
        <w:rPr>
          <w:rFonts w:ascii="Arial Narrow" w:eastAsia="Arial Narrow" w:hAnsi="Arial Narrow" w:cs="Arial Narrow"/>
          <w:sz w:val="24"/>
          <w:szCs w:val="24"/>
        </w:rPr>
        <w:t>, destaca el impacto del desplazamiento por factores ambientales en el país y señala el poco reconocimiento que se ha hecho de este fenómeno en Colombia: “(…) es necesario reconocer que el conflicto armado no es la única causa de desplazamiento interno que se presenta en el país. Existen otros fenómenos que pueden llevar a que las personas tengan que dejar su lugar de origen, sus viviendas y territorios en contra de su voluntad. Un ejemplo de ello, lamentablemente cada vez más común, son los desplazamientos internos por factores ambientales, que incluyen aquellos generados por desastres, las consecuencias del cambio climático y la degradación ambiental. El desplazamiento por factores ambientales, al igual que el generado por el conflicto armado, amenaza y compromete de manera compleja el ejercicio de los derechos de las personas, y es una situación que también debe ser enfrentada por el Estado con prontitud”</w:t>
      </w:r>
      <w:r w:rsidR="004B45F5">
        <w:rPr>
          <w:rStyle w:val="Refdenotaalpie"/>
          <w:rFonts w:ascii="Arial Narrow" w:eastAsia="Arial Narrow" w:hAnsi="Arial Narrow" w:cs="Arial Narrow"/>
          <w:sz w:val="24"/>
          <w:szCs w:val="24"/>
        </w:rPr>
        <w:footnoteReference w:id="13"/>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aquí se desprenden varias conclusiones: la primera, la ausencia de reconocimiento del fenómeno en el contexto de desplazamiento interno, y segundo, el desplazamiento por factores ambientales incluye el causado por desastres, como consecuencia del cambio climático y también de la degradación ambiental. A </w:t>
      </w:r>
      <w:r>
        <w:rPr>
          <w:rFonts w:ascii="Arial Narrow" w:eastAsia="Arial Narrow" w:hAnsi="Arial Narrow" w:cs="Arial Narrow"/>
          <w:sz w:val="24"/>
          <w:szCs w:val="24"/>
        </w:rPr>
        <w:lastRenderedPageBreak/>
        <w:t xml:space="preserve">partir del análisis de los instrumentos internacionales relacionados con este tipo de desplazamiento, la Corte caracteriza el desplazamiento interno por factores ambientales.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primera característica destacada por la Corte es la connotación multicausal y compleja del desplazamiento forzado por factores ambientales, empezando porque pueden ser causados por desastres, los efectos adversos del cambio climático y la degradación ambiental. De otro lado, “Los desplazamientos forzados por factores ambientales pueden ocurrir por causas que se manifiestan de manera repentina - tales como sismos, deslizamientos de tierra o inundaciones-, o por situaciones de lenta aparición, como los procesos de desertización, la elevación del nivel del mar o la degradación ambiental progresiva. Como bien lo indica la OIM: “la migración en el contexto del cambio climático y la degradación ambiental suele ser multicausal y la mayoría de las personas migran debido a una combinación de factores sociales, políticos, económicos, ambientales y demográficos”. Esto implica que las personas se desplacen incluso de manera preventiva para evitar un desastre que debido a la degradación ambiental sobreviene, esto no hace que el desplazamiento sea voluntario, sino como un mecanismo de subsistencia.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segunda característica es la temporalidad. “Los desplazamientos por factores pueden ser temporales o definitivos. Serán temporales aquellas movilizaciones que se presentan de manera limitada, mientras pasa la crisis (…) serán definitivos si el efecto adverso se convierte en permanente y hace imposible el retorno”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Otra característica es el carácter interno del desplazamiento. “(…) Hace referencia al hecho de que los desplazamientos ocurren dentro de las fronteras de un determinado país. (…) los principios </w:t>
      </w:r>
      <w:proofErr w:type="spellStart"/>
      <w:r>
        <w:rPr>
          <w:rFonts w:ascii="Arial Narrow" w:eastAsia="Arial Narrow" w:hAnsi="Arial Narrow" w:cs="Arial Narrow"/>
          <w:sz w:val="24"/>
          <w:szCs w:val="24"/>
        </w:rPr>
        <w:t>Deng</w:t>
      </w:r>
      <w:proofErr w:type="spellEnd"/>
      <w:r>
        <w:rPr>
          <w:rFonts w:ascii="Arial Narrow" w:eastAsia="Arial Narrow" w:hAnsi="Arial Narrow" w:cs="Arial Narrow"/>
          <w:sz w:val="24"/>
          <w:szCs w:val="24"/>
        </w:rPr>
        <w:t xml:space="preserve"> establecen que los desplazados internos son aquellas personas que han sido forzados u obligados a huir o abandonar sus hogares o sus sitios de residencia habitual sin cruzar una frontera internacional, en particular cuando ello obedezca a los efectos de un conflicto armado, una situación generalizada de violencia, violaciones a los derechos humanos, o desastres de origen natural o humano</w:t>
      </w:r>
      <w:r>
        <w:rPr>
          <w:rFonts w:ascii="Arial Narrow" w:eastAsia="Arial Narrow" w:hAnsi="Arial Narrow" w:cs="Arial Narrow"/>
          <w:sz w:val="24"/>
          <w:szCs w:val="24"/>
          <w:vertAlign w:val="superscript"/>
        </w:rPr>
        <w:t>”</w:t>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último, la corte destaca la mayor afectación a los más vulnerables. “(…) las personas más vulnerables tienden a tener menos capacidad de adaptación, sufren las mayores consecuencias adversas para sus derechos hasta el punto en que ya no tienen otra opción que el desplazamiento. Para ellos, con frecuencia, sus opciones de a dónde ir son limitadas o inexistentes. (…) el </w:t>
      </w:r>
      <w:proofErr w:type="spellStart"/>
      <w:r>
        <w:rPr>
          <w:rFonts w:ascii="Arial Narrow" w:eastAsia="Arial Narrow" w:hAnsi="Arial Narrow" w:cs="Arial Narrow"/>
          <w:sz w:val="24"/>
          <w:szCs w:val="24"/>
        </w:rPr>
        <w:t>Ideam</w:t>
      </w:r>
      <w:proofErr w:type="spellEnd"/>
      <w:r>
        <w:rPr>
          <w:rFonts w:ascii="Arial Narrow" w:eastAsia="Arial Narrow" w:hAnsi="Arial Narrow" w:cs="Arial Narrow"/>
          <w:sz w:val="24"/>
          <w:szCs w:val="24"/>
        </w:rPr>
        <w:t xml:space="preserve">, en la Tercera Comunicación Nacional de Cambio Climático, mostró que existe una diferencia importante para la adaptación al cambio climático entre municipios y departamentos, dependiendo de sus recursos”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Resulta fundamental destacar el enfoque diferencial que hace la Corte cuando se trata de caracterizar e identificar las mayores afectaciones en razón a la relación particular de las poblaciones con su territorio, anotando</w:t>
      </w: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 cómo el desplazamiento ambiental impacta a comunidades cuya identidad y subsistencia están estrechamente ligadas a la tierra y a los recursos naturales. Esta Corte, por ejemplo, ha mostrado cómo los pueblos indígenas y afrodescendientes sufren con mayor fuerza el deterioro del ecosistema, en la medida que “tienen una vulnerabilidad especial a la degradación ambiental por su relación espiritual y cultural con sus territorios y por la dependencia económica con los recursos naturales”. Así mismo, ha hecho notar </w:t>
      </w:r>
      <w:r>
        <w:rPr>
          <w:rFonts w:ascii="Arial Narrow" w:eastAsia="Arial Narrow" w:hAnsi="Arial Narrow" w:cs="Arial Narrow"/>
          <w:sz w:val="24"/>
          <w:szCs w:val="24"/>
        </w:rPr>
        <w:lastRenderedPageBreak/>
        <w:t>cómo las afectaciones en los ecosistemas, también impactan de manera notable a la población campesina debido a su conexión especial con el territorio”.</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Tomando en cuenta los factores de la vinculación de las comunidades con el territorio y su grado de vulnerabilidad, la Corte también contempla las situaciones de emplazamiento según las cuales existen personas que a causa de </w:t>
      </w:r>
      <w:proofErr w:type="gramStart"/>
      <w:r>
        <w:rPr>
          <w:rFonts w:ascii="Arial Narrow" w:eastAsia="Arial Narrow" w:hAnsi="Arial Narrow" w:cs="Arial Narrow"/>
          <w:sz w:val="24"/>
          <w:szCs w:val="24"/>
        </w:rPr>
        <w:t>dicho factores</w:t>
      </w:r>
      <w:proofErr w:type="gramEnd"/>
      <w:r>
        <w:rPr>
          <w:rFonts w:ascii="Arial Narrow" w:eastAsia="Arial Narrow" w:hAnsi="Arial Narrow" w:cs="Arial Narrow"/>
          <w:sz w:val="24"/>
          <w:szCs w:val="24"/>
        </w:rPr>
        <w:t xml:space="preserve"> no pueden desplazarse, pero siguen expuestas a los efectos de las causas que motivan el desplazamiento. Contemplando estas situaciones dentro de las obligaciones que se activan durante el desplazamiento, de tal forma que el Estado debe garantizar la atención y protección de estas personas, en razón de su extrema desprotección y con ello, la incapacidad de enfrentar el riesgo.</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Un elemento clave en relación al desplazamiento forzado por factores ambientales, es su relación con el desplazamiento forzado por causa de la violencia. Precisamente la Sentencia T 305 de 2024, se refiere a las víctimas de desplazamiento por el conflicto armado, destacando que “(…) se encuentran en un mayor riesgo de verse afectadas por desastres y, consecuentemente, verse obligadas a desplazarse por factores asociados al deterioro ambiental. Por la especial condición de vulnerabilidad en la que se encuentra este segmento poblacional, por lo general, se ve obligado a asentarse en zonas de alto riesgo. Esta realidad exige una atención especial de parte de las autoridades encargadas de la gestión del riesgo, en particular de los entes territoriales. Por esta razón, la Sala debe evaluar la actuación de las entidades vinculadas a este trámite constitucional prestando particular atención a si cumplieron con ese deber de proteger a las partes frente al riesgo de desastres”</w:t>
      </w:r>
      <w:r w:rsidR="004B45F5">
        <w:rPr>
          <w:rStyle w:val="Refdenotaalpie"/>
          <w:rFonts w:ascii="Arial Narrow" w:eastAsia="Arial Narrow" w:hAnsi="Arial Narrow" w:cs="Arial Narrow"/>
          <w:sz w:val="24"/>
          <w:szCs w:val="24"/>
        </w:rPr>
        <w:footnoteReference w:id="14"/>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 providencia reitera, además, que “(…) las autoridades tienen unas obligaciones de prevención y adaptación antes de que se materialice el desplazamiento forzado asociado a factores ambientales. Estas obligaciones encuentran su fundamento en los artículos 2 y 5 de la Constitución, el Acuerdo de París, el Marco de Adaptación de Cancún, la Ley 1523 de 2012 y los Principios </w:t>
      </w:r>
      <w:proofErr w:type="spellStart"/>
      <w:r>
        <w:rPr>
          <w:rFonts w:ascii="Arial Narrow" w:eastAsia="Arial Narrow" w:hAnsi="Arial Narrow" w:cs="Arial Narrow"/>
          <w:sz w:val="24"/>
          <w:szCs w:val="24"/>
        </w:rPr>
        <w:t>Deng</w:t>
      </w:r>
      <w:proofErr w:type="spellEnd"/>
      <w:r>
        <w:rPr>
          <w:rFonts w:ascii="Arial Narrow" w:eastAsia="Arial Narrow" w:hAnsi="Arial Narrow" w:cs="Arial Narrow"/>
          <w:sz w:val="24"/>
          <w:szCs w:val="24"/>
        </w:rPr>
        <w:t xml:space="preserve"> y </w:t>
      </w:r>
      <w:proofErr w:type="spellStart"/>
      <w:r>
        <w:rPr>
          <w:rFonts w:ascii="Arial Narrow" w:eastAsia="Arial Narrow" w:hAnsi="Arial Narrow" w:cs="Arial Narrow"/>
          <w:sz w:val="24"/>
          <w:szCs w:val="24"/>
        </w:rPr>
        <w:t>Pinheiro</w:t>
      </w:r>
      <w:proofErr w:type="spellEnd"/>
      <w:r>
        <w:rPr>
          <w:rFonts w:ascii="Arial Narrow" w:eastAsia="Arial Narrow" w:hAnsi="Arial Narrow" w:cs="Arial Narrow"/>
          <w:sz w:val="24"/>
          <w:szCs w:val="24"/>
        </w:rPr>
        <w:t xml:space="preserve">, entre otros. A la luz de estas obligaciones constitucionales, internacionales y legales, el Estado debe implementar medidas de prevención con el fin de evitar al máximo el riesgo de desplazamiento por razones ambientales y, en particular, los riesgos asociados a los desastres. Esa intervención debe basarse en diagnósticos técnicos y participativos, así como estar encaminada a generar condiciones de resiliencia y adaptación para las comunidades en riesgo”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cuanto a las obligaciones del Estado, la jurisprudencia reitera aquellas “(…) derivadas de las normas constitucionales e internacionales de protección de los derechos humanos, del derecho ambiental y del cambio climático y de las regulaciones sobre el socorro frente a desastres (…) (i) de prevención y adaptación, (ii) durante los desplazamientos, y (iii) posteriores a ellos.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Colombia </w:t>
      </w:r>
      <w:r>
        <w:rPr>
          <w:rFonts w:ascii="Arial Narrow" w:eastAsia="Arial Narrow" w:hAnsi="Arial Narrow" w:cs="Arial Narrow"/>
          <w:sz w:val="24"/>
          <w:szCs w:val="24"/>
          <w:u w:val="single"/>
        </w:rPr>
        <w:t xml:space="preserve">“no hay una normativa legal para atender apropiadamente el desplazamiento forzado interno por factores ambientales, lo cual ubica a las personas desplazadas por esta causa en un déficit de protección </w:t>
      </w:r>
      <w:r>
        <w:rPr>
          <w:rFonts w:ascii="Arial Narrow" w:eastAsia="Arial Narrow" w:hAnsi="Arial Narrow" w:cs="Arial Narrow"/>
          <w:sz w:val="24"/>
          <w:szCs w:val="24"/>
          <w:u w:val="single"/>
        </w:rPr>
        <w:lastRenderedPageBreak/>
        <w:t>constitucional de sus derechos fundamentales</w:t>
      </w:r>
      <w:r>
        <w:rPr>
          <w:rFonts w:ascii="Arial Narrow" w:eastAsia="Arial Narrow" w:hAnsi="Arial Narrow" w:cs="Arial Narrow"/>
          <w:sz w:val="24"/>
          <w:szCs w:val="24"/>
        </w:rPr>
        <w:t>. Si bien, el marco normativo de gestión del riesgo de desastres ofrece algunas herramientas (que, en este caso han debido utilizarse) para la protección de esta población, estas no son suficientes para garantizar la totalidad de sus derechos”</w:t>
      </w:r>
      <w:r w:rsidR="004B45F5">
        <w:rPr>
          <w:rStyle w:val="Refdenotaalpie"/>
          <w:rFonts w:ascii="Arial Narrow" w:eastAsia="Arial Narrow" w:hAnsi="Arial Narrow" w:cs="Arial Narrow"/>
          <w:sz w:val="24"/>
          <w:szCs w:val="24"/>
        </w:rPr>
        <w:footnoteReference w:id="15"/>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sus conclusiones, señala, en consecuencia, que “las víctimas de desplazamiento forzado por factores ambientales enfrentan un déficit de protección constitucional. Por ejemplo, (i) no existe un sistema de registro que permita a dichas personas ser reconocidas como desplazadas; (ii) no hay una atención integral al desplazamiento por factores ambientales, que prevea no sólo medidas de atención inmediata o de urgencia, sino también de soluciones duraderas; y (iii) no hay una respuesta que reconozca, atienda y restablezca los diferentes derechos fundamentales que resultan afectados en el marco de dicho fenómeno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Desplazamiento por causa de desastres</w:t>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La Oficina de las Naciones Unidas para la Reducción de Riesgos de Desastres reportó que, desde 1980, los desastres mundiales relacionados con amenazas naturales aumentaron alrededor de un 30%. Como consecuencia de ello, la población afectada se incrementó en un 44.64%. Las pérdidas económicas aumentaron en un 29.13%, mientras que los desplazamientos relacionados con amenazas naturales, entre 1980-2020, sumaron 2.42 millones de personas</w:t>
      </w:r>
      <w:r w:rsidR="004B45F5">
        <w:rPr>
          <w:rStyle w:val="Refdenotaalpie"/>
          <w:rFonts w:ascii="Arial Narrow" w:eastAsia="Arial Narrow" w:hAnsi="Arial Narrow" w:cs="Arial Narrow"/>
          <w:sz w:val="24"/>
          <w:szCs w:val="24"/>
        </w:rPr>
        <w:footnoteReference w:id="16"/>
      </w:r>
      <w:r>
        <w:rPr>
          <w:rFonts w:ascii="Arial Narrow" w:eastAsia="Arial Narrow" w:hAnsi="Arial Narrow" w:cs="Arial Narrow"/>
          <w:sz w:val="24"/>
          <w:szCs w:val="24"/>
        </w:rPr>
        <w:t xml:space="preserve">. Para 2021, el número de desplazamientos internos en los 84 países que presentaron reporte de afectaciones por desastres ascendió a 5.9 millones de personas (UNDRR, 2022); En Colombia 6,7 millones de personas, equivalentes al 13% de la población, son vulnerables y los departamentos con menores ingresos per cápita, tienen la mayor tasa de población afectada (DNP, 2018).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Los desastres entendidos como la manifestación de un riesgo que potencialmente afecta la vida humana, el medio ambiente, las infraestructuras sociales y los sistemas productivos y económicos, causan no solo impactos físicos, sino rupturas espaciales, afectivas y emocionales</w:t>
      </w:r>
      <w:r w:rsidR="004B45F5">
        <w:rPr>
          <w:rStyle w:val="Refdenotaalpie"/>
          <w:rFonts w:ascii="Arial Narrow" w:eastAsia="Arial Narrow" w:hAnsi="Arial Narrow" w:cs="Arial Narrow"/>
          <w:sz w:val="24"/>
          <w:szCs w:val="24"/>
        </w:rPr>
        <w:footnoteReference w:id="17"/>
      </w:r>
      <w:r>
        <w:rPr>
          <w:rFonts w:ascii="Arial Narrow" w:eastAsia="Arial Narrow" w:hAnsi="Arial Narrow" w:cs="Arial Narrow"/>
          <w:sz w:val="24"/>
          <w:szCs w:val="24"/>
        </w:rPr>
        <w:t>. El riesgo surge cuando personas, bienes o infraestructuras están expuestos a una amenaza, ya sea de origen natural, antrópico o una combinación de ambas. Estas situaciones involucran dimensiones físicas, económicas, legales, sociales, culturales, psicológicas, ambientales, territoriales, políticas y administrativas</w:t>
      </w:r>
      <w:r w:rsidR="004B45F5">
        <w:rPr>
          <w:rStyle w:val="Refdenotaalpie"/>
          <w:rFonts w:ascii="Arial Narrow" w:eastAsia="Arial Narrow" w:hAnsi="Arial Narrow" w:cs="Arial Narrow"/>
          <w:sz w:val="24"/>
          <w:szCs w:val="24"/>
        </w:rPr>
        <w:footnoteReference w:id="18"/>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Impacto económico de los desastres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cambio climático y su variabilidad han incrementado la frecuencia e intensidad de desastres, afectando especialmente a las poblaciones más vulnerables en zonas urbanas (Robertson &amp; </w:t>
      </w:r>
      <w:proofErr w:type="spellStart"/>
      <w:r>
        <w:rPr>
          <w:rFonts w:ascii="Arial Narrow" w:eastAsia="Arial Narrow" w:hAnsi="Arial Narrow" w:cs="Arial Narrow"/>
          <w:sz w:val="24"/>
          <w:szCs w:val="24"/>
        </w:rPr>
        <w:t>Castilblanco</w:t>
      </w:r>
      <w:proofErr w:type="spellEnd"/>
      <w:r>
        <w:rPr>
          <w:rFonts w:ascii="Arial Narrow" w:eastAsia="Arial Narrow" w:hAnsi="Arial Narrow" w:cs="Arial Narrow"/>
          <w:sz w:val="24"/>
          <w:szCs w:val="24"/>
        </w:rPr>
        <w:t xml:space="preserve">, 2011). La </w:t>
      </w:r>
      <w:r>
        <w:rPr>
          <w:rFonts w:ascii="Arial Narrow" w:eastAsia="Arial Narrow" w:hAnsi="Arial Narrow" w:cs="Arial Narrow"/>
          <w:sz w:val="24"/>
          <w:szCs w:val="24"/>
        </w:rPr>
        <w:lastRenderedPageBreak/>
        <w:t>Oficina de las Naciones Unidas para la Reducción del Riesgo de Desastres (UNDRR) establece que un evento se clasifica como desastre cuando cumple con cuatro criterios: provoca la muerte de 10 o más personas; afecta a 100 o más personas; conlleva la declaración de estado de emergencia; y se solicita asistencia internacional (UNDRR, 2020). Por su parte, el Informe del Índice de Desplazamiento Interno IDCM que adelantó estudios en 18 países, indica que el impacto económico del desplazamiento interno el mundo para 2020 como resultado de conflicto, violencia y desastre fue de $20.5 billones de dólares, un costo que se incrementó debido a la pandemia generada por el COVID19. En Colombia es este costo fue equivalente al 0,23% del PIB nacional con valor aproximado de $742,2 millones de dólares</w:t>
      </w:r>
      <w:r w:rsidR="004B45F5">
        <w:rPr>
          <w:rStyle w:val="Refdenotaalpie"/>
          <w:rFonts w:ascii="Arial Narrow" w:eastAsia="Arial Narrow" w:hAnsi="Arial Narrow" w:cs="Arial Narrow"/>
          <w:sz w:val="24"/>
          <w:szCs w:val="24"/>
        </w:rPr>
        <w:footnoteReference w:id="19"/>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costo del desplazamiento fue calculado con base en el cubrimiento durante un año de los medios de subsistencia ($490 M – 66%); vivienda ($84 M- 11%), seguridad ($92 M 12%), salud ($73 M – 10%) asistencia básica y educación ($4 M – 1%) (ver imagen 07).  Los costos promedio de atención a cada persona en situación de desplazamiento interno en Colombia fue de $150 </w:t>
      </w:r>
      <w:proofErr w:type="spellStart"/>
      <w:r>
        <w:rPr>
          <w:rFonts w:ascii="Arial Narrow" w:eastAsia="Arial Narrow" w:hAnsi="Arial Narrow" w:cs="Arial Narrow"/>
          <w:sz w:val="24"/>
          <w:szCs w:val="24"/>
        </w:rPr>
        <w:t>usd</w:t>
      </w:r>
      <w:proofErr w:type="spellEnd"/>
      <w:r>
        <w:rPr>
          <w:rFonts w:ascii="Arial Narrow" w:eastAsia="Arial Narrow" w:hAnsi="Arial Narrow" w:cs="Arial Narrow"/>
          <w:sz w:val="24"/>
          <w:szCs w:val="24"/>
        </w:rPr>
        <w:t>. por desplazado, en parte se entiende por la capacidad institucional instalada para la atención, sin embargo, el país se convierte en una de las naciones con mayor número de población desplazada</w:t>
      </w: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Según las bases del Plan Nacional de Desarrollo “A pesar de que entre 2002 y 2022 se han destinado 219 billones de pesos para la atención y reparación a las víctimas (un promedio de 22 mil millones al año), solamente se ha indemnizado al 14% de éstas, y en 2021 el 50,1% se encontraba en pobreza monetaria. Si el número de víctimas dejara de aumentar hoy, repararlas integralmente podría tomar 67 años y costar, solo en el rubro de inversión, 142 billones de pesos.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Con relación a esta problemática, Colombia adoptó la política nacional de gestión de riesgos de desastres y creó el Sistema Nacional de Gestión de Riesgos de Desastres mediante la Ley 1523 de 2012. La gestión del riesgo vista como un sistema logra la convergencia de un conjunto de procesos de instituciones públicas (nacional, regional y local), comunitarias y cuerpos de socorro en articulación con las políticas, normas, estrategias, planes, procesos, instrumentos y mecanismos existentes, el cual lo lidera el presidente de la república (ver imagen 11). Su objetivo es llevar a cabo un proceso social de gestión del riesgo para mejorar la seguridad, calidad de vida y bienestar para aportar al desarrollo sostenible del territorio.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2018 el país tuvo un avance significativo con relación al registro histórico de desastres con la expedición del Índice municipal de Gestión de Riesgos de desastres. Este documento dejó en evidencia que para el periodo 1998-2016, el 88% de los desastres estuvieron asociados con eventos </w:t>
      </w:r>
      <w:proofErr w:type="spellStart"/>
      <w:r>
        <w:rPr>
          <w:rFonts w:ascii="Arial Narrow" w:eastAsia="Arial Narrow" w:hAnsi="Arial Narrow" w:cs="Arial Narrow"/>
          <w:sz w:val="24"/>
          <w:szCs w:val="24"/>
        </w:rPr>
        <w:t>hidrometeorológicos</w:t>
      </w:r>
      <w:proofErr w:type="spellEnd"/>
      <w:r>
        <w:rPr>
          <w:rFonts w:ascii="Arial Narrow" w:eastAsia="Arial Narrow" w:hAnsi="Arial Narrow" w:cs="Arial Narrow"/>
          <w:sz w:val="24"/>
          <w:szCs w:val="24"/>
        </w:rPr>
        <w:t xml:space="preserve"> y el 74% del total de las pérdidas económicas que se generan en el país por desastres, han estado asociadas a esos hechos relacionados con el tiempo atmosférico y con el agua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                 </w:t>
      </w:r>
      <w:r>
        <w:rPr>
          <w:rFonts w:ascii="Arial Narrow" w:eastAsia="Arial Narrow" w:hAnsi="Arial Narrow" w:cs="Arial Narrow"/>
          <w:sz w:val="24"/>
          <w:szCs w:val="24"/>
        </w:rPr>
        <w:tab/>
        <w:t xml:space="preserve"> </w:t>
      </w:r>
      <w:r>
        <w:rPr>
          <w:rFonts w:ascii="Arial Narrow" w:eastAsia="Arial Narrow" w:hAnsi="Arial Narrow" w:cs="Arial Narrow"/>
          <w:noProof/>
          <w:sz w:val="24"/>
          <w:szCs w:val="24"/>
        </w:rPr>
        <w:drawing>
          <wp:inline distT="114300" distB="114300" distL="114300" distR="114300">
            <wp:extent cx="4432300" cy="2578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4432300" cy="2578100"/>
                    </a:xfrm>
                    <a:prstGeom prst="rect">
                      <a:avLst/>
                    </a:prstGeom>
                    <a:ln/>
                  </pic:spPr>
                </pic:pic>
              </a:graphicData>
            </a:graphic>
          </wp:inline>
        </w:drawing>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Fuente: DNP, 2018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Lamentablemente en Colombia, la gestión del riesgo se ha centrado en atención de desastres de manera reactiva, no solo por el desconocimiento de la norma por parte de la comunidad (Giraldo y Rodríguez, 2019) sino también por la falta de apoyo del Estado central que adjudique el presupuesto para ejecutar las obras de mitigación para la prevención del riesgo. A pesar del alto impacto en la economía y la afectación a la vida e integridad de las personas, el país no cuenta con un registro histórico de los logros, las dificultades y lecciones aprendidas sobre la atención y manejo de desastres, de tal manera que cada evento se maneja de manera diferente y según los lineamientos de la gerencia que se designe en el momento (López, 2022).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Como una medida para conocer el nivel de riesgo y de preparación Estatal para hacer frente a los desastres, Colombia con apoyo del Banco Mundial [BM] y el Mecanismo Mundial para la reducción de desastres y recuperación [GFDRR]</w:t>
      </w:r>
      <w:r w:rsidR="004B45F5">
        <w:rPr>
          <w:rStyle w:val="Refdenotaalpie"/>
          <w:rFonts w:ascii="Arial Narrow" w:eastAsia="Arial Narrow" w:hAnsi="Arial Narrow" w:cs="Arial Narrow"/>
          <w:sz w:val="24"/>
          <w:szCs w:val="24"/>
        </w:rPr>
        <w:footnoteReference w:id="20"/>
      </w:r>
      <w:r>
        <w:rPr>
          <w:rFonts w:ascii="Arial Narrow" w:eastAsia="Arial Narrow" w:hAnsi="Arial Narrow" w:cs="Arial Narrow"/>
          <w:sz w:val="24"/>
          <w:szCs w:val="24"/>
        </w:rPr>
        <w:t xml:space="preserve">, crearon en 2018 el Índice municipal de riesgo de desastres ajustado por capacidades (DNP, 2018), el cual tiene dos componentes: El índice de riesgo de desastre condicionado por los niveles de amenaza, de exposición de la población y los bienes frente a la amenaza y los niveles de vulnerabilidad que se crean por estas condiciones. El componente de capacidades tiene que ver con el nivel de respuesta financiera, socioeconómica y de gestión de riesgo institucional  </w:t>
      </w:r>
    </w:p>
    <w:p w:rsidR="00DD3391" w:rsidRDefault="00CA2042">
      <w:pPr>
        <w:shd w:val="clear" w:color="auto" w:fill="FFFFFF"/>
        <w:spacing w:after="200"/>
        <w:jc w:val="center"/>
        <w:rPr>
          <w:rFonts w:ascii="Arial Narrow" w:eastAsia="Arial Narrow" w:hAnsi="Arial Narrow" w:cs="Arial Narrow"/>
          <w:sz w:val="24"/>
          <w:szCs w:val="24"/>
        </w:rPr>
      </w:pPr>
      <w:r>
        <w:rPr>
          <w:rFonts w:ascii="Arial Narrow" w:eastAsia="Arial Narrow" w:hAnsi="Arial Narrow" w:cs="Arial Narrow"/>
          <w:b/>
          <w:sz w:val="24"/>
          <w:szCs w:val="24"/>
        </w:rPr>
        <w:t>Índice municipal de riesgo de desastres ajustado por capacidades</w:t>
      </w:r>
      <w:r>
        <w:rPr>
          <w:rFonts w:ascii="Arial Narrow" w:eastAsia="Arial Narrow" w:hAnsi="Arial Narrow" w:cs="Arial Narrow"/>
          <w:sz w:val="24"/>
          <w:szCs w:val="24"/>
        </w:rPr>
        <w:t xml:space="preserve">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                                 </w:t>
      </w:r>
      <w:r>
        <w:rPr>
          <w:rFonts w:ascii="Arial Narrow" w:eastAsia="Arial Narrow" w:hAnsi="Arial Narrow" w:cs="Arial Narrow"/>
          <w:sz w:val="24"/>
          <w:szCs w:val="24"/>
        </w:rPr>
        <w:tab/>
        <w:t xml:space="preserve"> </w:t>
      </w:r>
      <w:r>
        <w:rPr>
          <w:rFonts w:ascii="Arial Narrow" w:eastAsia="Arial Narrow" w:hAnsi="Arial Narrow" w:cs="Arial Narrow"/>
          <w:noProof/>
          <w:sz w:val="24"/>
          <w:szCs w:val="24"/>
        </w:rPr>
        <w:drawing>
          <wp:inline distT="114300" distB="114300" distL="114300" distR="114300">
            <wp:extent cx="3378200" cy="1384300"/>
            <wp:effectExtent l="0" t="0" r="0" b="0"/>
            <wp:docPr id="2" name="image1.png" descr="Tabl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Tabla&#10;&#10;Descripción generada automáticamente con confianza media"/>
                    <pic:cNvPicPr preferRelativeResize="0"/>
                  </pic:nvPicPr>
                  <pic:blipFill>
                    <a:blip r:embed="rId27"/>
                    <a:srcRect/>
                    <a:stretch>
                      <a:fillRect/>
                    </a:stretch>
                  </pic:blipFill>
                  <pic:spPr>
                    <a:xfrm>
                      <a:off x="0" y="0"/>
                      <a:ext cx="3378200" cy="1384300"/>
                    </a:xfrm>
                    <a:prstGeom prst="rect">
                      <a:avLst/>
                    </a:prstGeom>
                    <a:ln/>
                  </pic:spPr>
                </pic:pic>
              </a:graphicData>
            </a:graphic>
          </wp:inline>
        </w:drawing>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Fuente: </w:t>
      </w:r>
      <w:r>
        <w:rPr>
          <w:rFonts w:ascii="Arial Narrow" w:eastAsia="Arial Narrow" w:hAnsi="Arial Narrow" w:cs="Arial Narrow"/>
          <w:sz w:val="24"/>
          <w:szCs w:val="24"/>
        </w:rPr>
        <w:t xml:space="preserve">DNP, 2018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Colombia, 6.7 millones de personas son vulnerables socialmente y están expuestas a amenazas por inundaciones, movimientos en masa y flujos torrenciales y los departamentos y municipios con menos ingresos per-cápita son los que presentan mayores tasas de afectaciones a la población y a sus bienes. Los desastres asociados eventos naturales evidencian una vulnerabilidad fiscal y se convierten en un gran desafío para la sostenibilidad y estabilidad del país. En el seguimiento realizado a las afectaciones por los eventos </w:t>
      </w:r>
      <w:proofErr w:type="spellStart"/>
      <w:r>
        <w:rPr>
          <w:rFonts w:ascii="Arial Narrow" w:eastAsia="Arial Narrow" w:hAnsi="Arial Narrow" w:cs="Arial Narrow"/>
          <w:sz w:val="24"/>
          <w:szCs w:val="24"/>
        </w:rPr>
        <w:t>hidrometeorológicos</w:t>
      </w:r>
      <w:proofErr w:type="spellEnd"/>
      <w:r>
        <w:rPr>
          <w:rFonts w:ascii="Arial Narrow" w:eastAsia="Arial Narrow" w:hAnsi="Arial Narrow" w:cs="Arial Narrow"/>
          <w:sz w:val="24"/>
          <w:szCs w:val="24"/>
        </w:rPr>
        <w:t xml:space="preserve"> en el país entre 1998 y 2016, se encontró que la mayor parte de las afectaciones se generaron a viviendas y estas a su vez, fueron causadas por inundaciones lentas con el 85%, seguido de los movimientos en masa con el 14% y los flujos torrenciales el 1%. Estos porcentajes se invierten al analizar las causas de las muertes, encontrando que el 66% de estas fueron provocadas por los movimientos en masa que ocurren de manera sorpresiva sin dar tiempo a escapar, los flujos torrenciales representan el 19% y las inundaciones lentas un 15%. En promedio, 2800 viviendas fueron destruidas y 160 personas murieron (ver imagen 13) al año (DNP, 2018).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2022 las emergencias producto de la variabilidad climática generaron afectaciones acumuladas con un incremento del 46% con respecto al año 2021. En el año 2022, 550.000 fueron afectadas por las lluvias lo que llevó al gobierno a declarar el Estado de desastre.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“En Colombia, fueron más los desplazados por catástrofes que por el conflicto armado en 2023. 293 mil personas dejaron sus hogares por el conflicto armado y 351 mil por desastres”</w:t>
      </w:r>
      <w:r w:rsidR="004B45F5">
        <w:rPr>
          <w:rStyle w:val="Refdenotaalpie"/>
          <w:rFonts w:ascii="Arial Narrow" w:eastAsia="Arial Narrow" w:hAnsi="Arial Narrow" w:cs="Arial Narrow"/>
          <w:sz w:val="24"/>
          <w:szCs w:val="24"/>
        </w:rPr>
        <w:footnoteReference w:id="21"/>
      </w:r>
      <w:r>
        <w:rPr>
          <w:rFonts w:ascii="Arial Narrow" w:eastAsia="Arial Narrow" w:hAnsi="Arial Narrow" w:cs="Arial Narrow"/>
          <w:sz w:val="24"/>
          <w:szCs w:val="24"/>
        </w:rPr>
        <w:t xml:space="preserve"> y en 2024 la variabilidad climática aumentó, como lo señalaron la Ministra Susana </w:t>
      </w:r>
      <w:proofErr w:type="spellStart"/>
      <w:r>
        <w:rPr>
          <w:rFonts w:ascii="Arial Narrow" w:eastAsia="Arial Narrow" w:hAnsi="Arial Narrow" w:cs="Arial Narrow"/>
          <w:sz w:val="24"/>
          <w:szCs w:val="24"/>
        </w:rPr>
        <w:t>Muhamad</w:t>
      </w:r>
      <w:proofErr w:type="spellEnd"/>
      <w:r>
        <w:rPr>
          <w:rFonts w:ascii="Arial Narrow" w:eastAsia="Arial Narrow" w:hAnsi="Arial Narrow" w:cs="Arial Narrow"/>
          <w:sz w:val="24"/>
          <w:szCs w:val="24"/>
        </w:rPr>
        <w:t xml:space="preserve"> “</w:t>
      </w:r>
      <w:r>
        <w:rPr>
          <w:rFonts w:ascii="Arial Narrow" w:eastAsia="Arial Narrow" w:hAnsi="Arial Narrow" w:cs="Arial Narrow"/>
          <w:i/>
          <w:sz w:val="24"/>
          <w:szCs w:val="24"/>
        </w:rPr>
        <w:t>Estamos en una situación absolutamente inusual en la que cada pronóstico se ha ido adelantando</w:t>
      </w:r>
      <w:r>
        <w:rPr>
          <w:rFonts w:ascii="Arial Narrow" w:eastAsia="Arial Narrow" w:hAnsi="Arial Narrow" w:cs="Arial Narrow"/>
          <w:sz w:val="24"/>
          <w:szCs w:val="24"/>
        </w:rPr>
        <w:t>" y la directora del Instituto de Hidrología, Meteorología y Estudios Ambientales (</w:t>
      </w:r>
      <w:proofErr w:type="spellStart"/>
      <w:r>
        <w:rPr>
          <w:rFonts w:ascii="Arial Narrow" w:eastAsia="Arial Narrow" w:hAnsi="Arial Narrow" w:cs="Arial Narrow"/>
          <w:sz w:val="24"/>
          <w:szCs w:val="24"/>
        </w:rPr>
        <w:t>Ideam</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Ghisliane</w:t>
      </w:r>
      <w:proofErr w:type="spellEnd"/>
      <w:r>
        <w:rPr>
          <w:rFonts w:ascii="Arial Narrow" w:eastAsia="Arial Narrow" w:hAnsi="Arial Narrow" w:cs="Arial Narrow"/>
          <w:sz w:val="24"/>
          <w:szCs w:val="24"/>
        </w:rPr>
        <w:t xml:space="preserve"> Echeverry, quien alertó de los "</w:t>
      </w:r>
      <w:r>
        <w:rPr>
          <w:rFonts w:ascii="Arial Narrow" w:eastAsia="Arial Narrow" w:hAnsi="Arial Narrow" w:cs="Arial Narrow"/>
          <w:i/>
          <w:sz w:val="24"/>
          <w:szCs w:val="24"/>
        </w:rPr>
        <w:t>13 meses consecutivos que llevamos con los océanos calientes y 11 rompiendo récords de la temperatura del aire</w:t>
      </w:r>
      <w:r>
        <w:rPr>
          <w:rFonts w:ascii="Arial Narrow" w:eastAsia="Arial Narrow" w:hAnsi="Arial Narrow" w:cs="Arial Narrow"/>
          <w:sz w:val="24"/>
          <w:szCs w:val="24"/>
        </w:rPr>
        <w:t>"</w:t>
      </w:r>
      <w:r w:rsidR="00897E55">
        <w:rPr>
          <w:rStyle w:val="Refdenotaalpie"/>
          <w:rFonts w:ascii="Arial Narrow" w:eastAsia="Arial Narrow" w:hAnsi="Arial Narrow" w:cs="Arial Narrow"/>
          <w:sz w:val="24"/>
          <w:szCs w:val="24"/>
        </w:rPr>
        <w:footnoteReference w:id="22"/>
      </w:r>
      <w:r>
        <w:rPr>
          <w:rFonts w:ascii="Arial Narrow" w:eastAsia="Arial Narrow" w:hAnsi="Arial Narrow" w:cs="Arial Narrow"/>
          <w:sz w:val="24"/>
          <w:szCs w:val="24"/>
        </w:rPr>
        <w:t xml:space="preserve">, lo que aumenta la cantidad de emergencias climáticas y el nivel de riesgo y amenaza al que debemos enfrentarnos, con eventos extremos de sequía de un lado , e inundaciones y lluvias, por el otro. Debido a </w:t>
      </w:r>
      <w:r>
        <w:rPr>
          <w:rFonts w:ascii="Arial Narrow" w:eastAsia="Arial Narrow" w:hAnsi="Arial Narrow" w:cs="Arial Narrow"/>
          <w:sz w:val="24"/>
          <w:szCs w:val="24"/>
        </w:rPr>
        <w:lastRenderedPageBreak/>
        <w:t xml:space="preserve">estos factores el Gobierno Nacional expidió el Decreto 037 de 2024 – ‘Situación de emergencia nacional”, a fin de dictar e implementar medidas efectivas para mitigar los efectos de las altas temperaturas, que ya han llevado a que varios departamentos y municipios del país declaren la calamidad pública.  </w:t>
      </w:r>
    </w:p>
    <w:p w:rsidR="00DD3391" w:rsidRDefault="00CA2042">
      <w:pPr>
        <w:shd w:val="clear" w:color="auto" w:fill="FFFFFF"/>
        <w:spacing w:after="200"/>
        <w:jc w:val="both"/>
        <w:rPr>
          <w:rFonts w:ascii="Arial Narrow" w:eastAsia="Arial Narrow" w:hAnsi="Arial Narrow" w:cs="Arial Narrow"/>
          <w:b/>
          <w:sz w:val="24"/>
          <w:szCs w:val="24"/>
        </w:rPr>
      </w:pPr>
      <w:r>
        <w:rPr>
          <w:rFonts w:ascii="Arial Narrow" w:eastAsia="Arial Narrow" w:hAnsi="Arial Narrow" w:cs="Arial Narrow"/>
          <w:b/>
          <w:sz w:val="24"/>
          <w:szCs w:val="24"/>
        </w:rPr>
        <w:t>Ejemplos significativos del desplazamiento por factores ambientales en el país.</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 cierto es que el país a lo largo de la historia ha afrontado una serie de casos significativos de desplazamiento por factores ambientales, los cuales alertaban la necesidad de iniciar a reconocer que los desplazamientos internos podrían ocurrir por causas distintas a la del conflicto armado. Uno de </w:t>
      </w:r>
      <w:proofErr w:type="spellStart"/>
      <w:r>
        <w:rPr>
          <w:rFonts w:ascii="Arial Narrow" w:eastAsia="Arial Narrow" w:hAnsi="Arial Narrow" w:cs="Arial Narrow"/>
          <w:sz w:val="24"/>
          <w:szCs w:val="24"/>
        </w:rPr>
        <w:t>lo</w:t>
      </w:r>
      <w:proofErr w:type="spellEnd"/>
      <w:r>
        <w:rPr>
          <w:rFonts w:ascii="Arial Narrow" w:eastAsia="Arial Narrow" w:hAnsi="Arial Narrow" w:cs="Arial Narrow"/>
          <w:sz w:val="24"/>
          <w:szCs w:val="24"/>
        </w:rPr>
        <w:t xml:space="preserve"> más conocidos mediáticamente, que demuestra la ineficiencia estatal en la gestión de los casos de desastres naturales, además de la poca atención a las víctimas, es la tragedia de Armero ocurrida en el 13 de noviembre del año 1985, exactamente una semana después de la toma del Palacio de Justicia, en la cual, el municipio quedó sepultado, murieron cerca del 94% de sus habitantes, y existieron cerca de 230.000 </w:t>
      </w:r>
      <w:r w:rsidR="00CC1A68">
        <w:rPr>
          <w:rFonts w:ascii="Arial Narrow" w:eastAsia="Arial Narrow" w:hAnsi="Arial Narrow" w:cs="Arial Narrow"/>
          <w:sz w:val="24"/>
          <w:szCs w:val="24"/>
        </w:rPr>
        <w:t>damnificados (</w:t>
      </w:r>
      <w:r>
        <w:rPr>
          <w:rFonts w:ascii="Arial Narrow" w:eastAsia="Arial Narrow" w:hAnsi="Arial Narrow" w:cs="Arial Narrow"/>
          <w:sz w:val="24"/>
          <w:szCs w:val="24"/>
        </w:rPr>
        <w:t>Arcila, 2024)</w:t>
      </w:r>
      <w:r w:rsidR="00CC1A68">
        <w:rPr>
          <w:rStyle w:val="Refdenotaalpie"/>
          <w:rFonts w:ascii="Arial Narrow" w:eastAsia="Arial Narrow" w:hAnsi="Arial Narrow" w:cs="Arial Narrow"/>
          <w:sz w:val="24"/>
          <w:szCs w:val="24"/>
        </w:rPr>
        <w:footnoteReference w:id="23"/>
      </w:r>
      <w:r>
        <w:rPr>
          <w:rFonts w:ascii="Arial Narrow" w:eastAsia="Arial Narrow" w:hAnsi="Arial Narrow" w:cs="Arial Narrow"/>
          <w:sz w:val="24"/>
          <w:szCs w:val="24"/>
        </w:rPr>
        <w:t xml:space="preserve">. Se denomina a esta tragedia, como la crónica de una muerte anunciada, al tener en cuenta la falta de atención que se le dio a las alertas proferidas por los técnicos que realizaban el seguimiento al volcán, resultando en la falta de </w:t>
      </w:r>
      <w:proofErr w:type="gramStart"/>
      <w:r>
        <w:rPr>
          <w:rFonts w:ascii="Arial Narrow" w:eastAsia="Arial Narrow" w:hAnsi="Arial Narrow" w:cs="Arial Narrow"/>
          <w:sz w:val="24"/>
          <w:szCs w:val="24"/>
        </w:rPr>
        <w:t>prevención,  lo</w:t>
      </w:r>
      <w:proofErr w:type="gramEnd"/>
      <w:r>
        <w:rPr>
          <w:rFonts w:ascii="Arial Narrow" w:eastAsia="Arial Narrow" w:hAnsi="Arial Narrow" w:cs="Arial Narrow"/>
          <w:sz w:val="24"/>
          <w:szCs w:val="24"/>
        </w:rPr>
        <w:t xml:space="preserve"> cual demostró, la poca capacidad de gestión de riesgos por parte del Estado. A esto, se le agrega el hecho de posterior al acontecimiento se dio la insuficiencia de ayuda humanitaria, falto la creación de un registro de víctimas y al día de hoy, casi 40 años después, muchos sobrevivientes que tuvieron que desplazarse a ciudades como Bogotá siguen buscando su indemnización y la reparación de los daños causados.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anterior acontecimiento, es tal vez la mayor representación de los desplazamientos por factores ambientales, demostrando la nulidad de medidas para atender a las víctimas de dichos fenómenos, junto a la deuda histórica que se poseen con ellos. No obstante, no es necesario remitirse tan lejos en el tiempo, en el año 2020, el Archipiélago de San </w:t>
      </w:r>
      <w:proofErr w:type="gramStart"/>
      <w:r>
        <w:rPr>
          <w:rFonts w:ascii="Arial Narrow" w:eastAsia="Arial Narrow" w:hAnsi="Arial Narrow" w:cs="Arial Narrow"/>
          <w:sz w:val="24"/>
          <w:szCs w:val="24"/>
        </w:rPr>
        <w:t>Andrés,  Providencia</w:t>
      </w:r>
      <w:proofErr w:type="gramEnd"/>
      <w:r>
        <w:rPr>
          <w:rFonts w:ascii="Arial Narrow" w:eastAsia="Arial Narrow" w:hAnsi="Arial Narrow" w:cs="Arial Narrow"/>
          <w:sz w:val="24"/>
          <w:szCs w:val="24"/>
        </w:rPr>
        <w:t xml:space="preserve"> y Santa Catalina se enfrentó al paso del huracán Lota, dejando como resultados la destrucción de los hogares, inundaciones y daños en la electricidad. Durante este desastre, existieron una serie de reclamaciones por parte de la ciudadanía acerca del plan posterior a la emergencia respecto a la insuficiencia de ayudas humanitarias, el hecho de que el registro de damnificados debiera hacerse por internet, entendiendo que el servicio de internet se vio afectado por el huracán, junto a los retrasos presentados en el proyecto de restauración.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Anudado a esto, al comprender el carácter multicausal del desplazamiento por factores ambientales tal como lo menciona la Corte Constitucional en la sentencia T-123 del 2024, es menester traer a colación, el caso de la selva amazónica, donde los proyectos de deforestación, entendido como un fenómeno antropogénico al ser provocado por el hombre , han causado el desplazamiento de pueblos indígenas y campesinos, quienes al ver en peligro su medio de subsistencias y sus territorios ancestrales han tenido que huir de su lugar de </w:t>
      </w:r>
      <w:proofErr w:type="spellStart"/>
      <w:r>
        <w:rPr>
          <w:rFonts w:ascii="Arial Narrow" w:eastAsia="Arial Narrow" w:hAnsi="Arial Narrow" w:cs="Arial Narrow"/>
          <w:sz w:val="24"/>
          <w:szCs w:val="24"/>
        </w:rPr>
        <w:t>residencia.Una</w:t>
      </w:r>
      <w:proofErr w:type="spellEnd"/>
      <w:r>
        <w:rPr>
          <w:rFonts w:ascii="Arial Narrow" w:eastAsia="Arial Narrow" w:hAnsi="Arial Narrow" w:cs="Arial Narrow"/>
          <w:sz w:val="24"/>
          <w:szCs w:val="24"/>
        </w:rPr>
        <w:t xml:space="preserve"> problemática que continúa vigente, y llama la atención del Estado para buscar la </w:t>
      </w:r>
      <w:r>
        <w:rPr>
          <w:rFonts w:ascii="Arial Narrow" w:eastAsia="Arial Narrow" w:hAnsi="Arial Narrow" w:cs="Arial Narrow"/>
          <w:sz w:val="24"/>
          <w:szCs w:val="24"/>
        </w:rPr>
        <w:lastRenderedPageBreak/>
        <w:t xml:space="preserve">preservación del medio ambiente y con ello, mitigar los impactos del deterioro ambiental, dentro de los que se enmarca el desplazamiento.  A esto, se le agrega, los desastres ambientales que van de la mano del conflicto armado, como son aquellos en los cuales los grupos armados ilegales suelen atentar contra los oleoductos cuyos residuos terminan cayendo a las </w:t>
      </w:r>
      <w:proofErr w:type="gramStart"/>
      <w:r>
        <w:rPr>
          <w:rFonts w:ascii="Arial Narrow" w:eastAsia="Arial Narrow" w:hAnsi="Arial Narrow" w:cs="Arial Narrow"/>
          <w:sz w:val="24"/>
          <w:szCs w:val="24"/>
        </w:rPr>
        <w:t>fuente hídricas</w:t>
      </w:r>
      <w:proofErr w:type="gramEnd"/>
      <w:r>
        <w:rPr>
          <w:rFonts w:ascii="Arial Narrow" w:eastAsia="Arial Narrow" w:hAnsi="Arial Narrow" w:cs="Arial Narrow"/>
          <w:sz w:val="24"/>
          <w:szCs w:val="24"/>
        </w:rPr>
        <w:t xml:space="preserve"> y al suelo ocasionando su contaminación y deterioro.</w:t>
      </w:r>
    </w:p>
    <w:p w:rsidR="00DD3391" w:rsidRDefault="00CA2042">
      <w:pPr>
        <w:shd w:val="clear" w:color="auto" w:fill="FFFFFF"/>
        <w:spacing w:after="200"/>
        <w:jc w:val="both"/>
        <w:rPr>
          <w:rFonts w:ascii="Arial Narrow" w:eastAsia="Arial Narrow" w:hAnsi="Arial Narrow" w:cs="Arial Narrow"/>
          <w:b/>
          <w:sz w:val="24"/>
          <w:szCs w:val="24"/>
        </w:rPr>
      </w:pPr>
      <w:r>
        <w:rPr>
          <w:rFonts w:ascii="Arial Narrow" w:eastAsia="Arial Narrow" w:hAnsi="Arial Narrow" w:cs="Arial Narrow"/>
          <w:b/>
          <w:sz w:val="24"/>
          <w:szCs w:val="24"/>
        </w:rPr>
        <w:t>Defensores del territorio: La protección a los líderes y lideresas ambientales y comunitarios durante el desplazamiento.</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Según un estudio realizado por Global </w:t>
      </w:r>
      <w:proofErr w:type="spellStart"/>
      <w:r>
        <w:rPr>
          <w:rFonts w:ascii="Arial Narrow" w:eastAsia="Arial Narrow" w:hAnsi="Arial Narrow" w:cs="Arial Narrow"/>
          <w:sz w:val="24"/>
          <w:szCs w:val="24"/>
        </w:rPr>
        <w:t>Witness</w:t>
      </w:r>
      <w:proofErr w:type="spellEnd"/>
      <w:r>
        <w:rPr>
          <w:rFonts w:ascii="Arial Narrow" w:eastAsia="Arial Narrow" w:hAnsi="Arial Narrow" w:cs="Arial Narrow"/>
          <w:sz w:val="24"/>
          <w:szCs w:val="24"/>
        </w:rPr>
        <w:t>, el 40% de los líderes ambientales asesinados eran de Colombia, siendo el país con más casos, teniendo cerca de 79</w:t>
      </w:r>
      <w:r w:rsidR="00CC1A68">
        <w:rPr>
          <w:rStyle w:val="Refdenotaalpie"/>
          <w:rFonts w:ascii="Arial Narrow" w:eastAsia="Arial Narrow" w:hAnsi="Arial Narrow" w:cs="Arial Narrow"/>
          <w:sz w:val="24"/>
          <w:szCs w:val="24"/>
        </w:rPr>
        <w:footnoteReference w:id="24"/>
      </w:r>
      <w:r>
        <w:rPr>
          <w:rFonts w:ascii="Arial Narrow" w:eastAsia="Arial Narrow" w:hAnsi="Arial Narrow" w:cs="Arial Narrow"/>
          <w:sz w:val="24"/>
          <w:szCs w:val="24"/>
        </w:rPr>
        <w:t xml:space="preserve">. Cabe resaltar que las principales causas de dichos asesinatos giran alrededor de su labor respecto a la conservación y protección del medio ambiente y con ello, la garantía de los derechos de las comunidades, enfrentándose a la deforestación, la minería ilegal, el acaparamiento de tierras, la ganadería extensiva, etc. Acciones que comúnmente son realizadas por grandes transnacionales o por grupos armados. En consecuencia, los líderes ambientales y defensores de los derechos humanos suelen recibir amenazas en contra de su seguridad e integridad, las cuales los convierten en una de las principales víctimas de los desplazamientos por factores ambientales.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ubicación de Colombia como el país con mayor cantidad de asesinatos de líderes ambientales demuestra la ausencia de medidas estatales para garantizar la protección de los defensores de la tierra, y con ello, el poco reconocimiento que han recibido por su labor con la madre tierra. De ahí la necesidad de implementar medidas antes, durante y después del desplazamiento por factores ambientales enfocadas en la protección y apoyo de estos. Medidas que se encuentran en consonancia con el Acuerdo de Escazú, donde se busca proteger la vida y los derechos de los líderes ambientales con miras </w:t>
      </w:r>
      <w:proofErr w:type="gramStart"/>
      <w:r>
        <w:rPr>
          <w:rFonts w:ascii="Arial Narrow" w:eastAsia="Arial Narrow" w:hAnsi="Arial Narrow" w:cs="Arial Narrow"/>
          <w:sz w:val="24"/>
          <w:szCs w:val="24"/>
        </w:rPr>
        <w:t xml:space="preserve">a </w:t>
      </w:r>
      <w:r>
        <w:rPr>
          <w:rFonts w:ascii="Arial Narrow" w:eastAsia="Arial Narrow" w:hAnsi="Arial Narrow" w:cs="Arial Narrow"/>
          <w:sz w:val="27"/>
          <w:szCs w:val="27"/>
          <w:highlight w:val="white"/>
        </w:rPr>
        <w:t xml:space="preserve"> </w:t>
      </w:r>
      <w:r>
        <w:rPr>
          <w:rFonts w:ascii="Arial Narrow" w:eastAsia="Arial Narrow" w:hAnsi="Arial Narrow" w:cs="Arial Narrow"/>
          <w:sz w:val="24"/>
          <w:szCs w:val="24"/>
          <w:highlight w:val="white"/>
        </w:rPr>
        <w:t>prevenir</w:t>
      </w:r>
      <w:proofErr w:type="gramEnd"/>
      <w:r>
        <w:rPr>
          <w:rFonts w:ascii="Arial Narrow" w:eastAsia="Arial Narrow" w:hAnsi="Arial Narrow" w:cs="Arial Narrow"/>
          <w:sz w:val="24"/>
          <w:szCs w:val="24"/>
          <w:highlight w:val="white"/>
        </w:rPr>
        <w:t>, investigar y sancionar las amenazas y ataques hacia estos.</w:t>
      </w:r>
    </w:p>
    <w:p w:rsidR="00DD3391" w:rsidRDefault="00CA2042">
      <w:pPr>
        <w:ind w:left="720"/>
        <w:rPr>
          <w:rFonts w:ascii="Arial Narrow" w:eastAsia="Arial Narrow" w:hAnsi="Arial Narrow" w:cs="Arial Narrow"/>
          <w:sz w:val="24"/>
          <w:szCs w:val="24"/>
        </w:rPr>
      </w:pPr>
      <w:r>
        <w:rPr>
          <w:rFonts w:ascii="Arial Narrow" w:eastAsia="Arial Narrow" w:hAnsi="Arial Narrow" w:cs="Arial Narrow"/>
          <w:b/>
          <w:sz w:val="24"/>
          <w:szCs w:val="24"/>
        </w:rPr>
        <w:t>5. MARCO NORMATIVO INTERNACIONAL</w:t>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Los principales instrumentos internacionales frente al desplazamiento forzado interno son los Principios Rectores de los Desplazamientos Internos del Consejo Económico y Social de la Organización de las Naciones Unidas</w:t>
      </w:r>
      <w:r w:rsidR="00897E55">
        <w:rPr>
          <w:rStyle w:val="Refdenotaalpie"/>
          <w:rFonts w:ascii="Arial Narrow" w:eastAsia="Arial Narrow" w:hAnsi="Arial Narrow" w:cs="Arial Narrow"/>
          <w:sz w:val="24"/>
          <w:szCs w:val="24"/>
        </w:rPr>
        <w:footnoteReference w:id="25"/>
      </w:r>
      <w:r>
        <w:rPr>
          <w:rFonts w:ascii="Arial Narrow" w:eastAsia="Arial Narrow" w:hAnsi="Arial Narrow" w:cs="Arial Narrow"/>
          <w:sz w:val="24"/>
          <w:szCs w:val="24"/>
        </w:rPr>
        <w:t xml:space="preserve"> conocidos como “Principios </w:t>
      </w:r>
      <w:proofErr w:type="spellStart"/>
      <w:r>
        <w:rPr>
          <w:rFonts w:ascii="Arial Narrow" w:eastAsia="Arial Narrow" w:hAnsi="Arial Narrow" w:cs="Arial Narrow"/>
          <w:sz w:val="24"/>
          <w:szCs w:val="24"/>
        </w:rPr>
        <w:t>Deng</w:t>
      </w:r>
      <w:proofErr w:type="spellEnd"/>
      <w:r>
        <w:rPr>
          <w:rFonts w:ascii="Arial Narrow" w:eastAsia="Arial Narrow" w:hAnsi="Arial Narrow" w:cs="Arial Narrow"/>
          <w:sz w:val="24"/>
          <w:szCs w:val="24"/>
        </w:rPr>
        <w:t xml:space="preserve">”, y los Principios sobre la restitución de las viviendas y el patrimonio de los refugiados y las personas desplazadas, conocidos como los “Principios </w:t>
      </w:r>
      <w:proofErr w:type="spellStart"/>
      <w:r>
        <w:rPr>
          <w:rFonts w:ascii="Arial Narrow" w:eastAsia="Arial Narrow" w:hAnsi="Arial Narrow" w:cs="Arial Narrow"/>
          <w:sz w:val="24"/>
          <w:szCs w:val="24"/>
        </w:rPr>
        <w:t>Pinheiro</w:t>
      </w:r>
      <w:proofErr w:type="spellEnd"/>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 xml:space="preserve">Los principios </w:t>
      </w:r>
      <w:proofErr w:type="spellStart"/>
      <w:r>
        <w:rPr>
          <w:rFonts w:ascii="Arial Narrow" w:eastAsia="Arial Narrow" w:hAnsi="Arial Narrow" w:cs="Arial Narrow"/>
          <w:b/>
          <w:sz w:val="24"/>
          <w:szCs w:val="24"/>
        </w:rPr>
        <w:t>Deng</w:t>
      </w:r>
      <w:proofErr w:type="spellEnd"/>
      <w:r>
        <w:rPr>
          <w:rFonts w:ascii="Arial Narrow" w:eastAsia="Arial Narrow" w:hAnsi="Arial Narrow" w:cs="Arial Narrow"/>
          <w:sz w:val="24"/>
          <w:szCs w:val="24"/>
        </w:rPr>
        <w:t xml:space="preserve"> “les permiten a los operadores jurídicos interpretar el contenido y el alcance de las obligaciones de los Estados frente a las víctimas en general”</w:t>
      </w:r>
      <w:r w:rsidR="00897E55">
        <w:rPr>
          <w:rStyle w:val="Refdenotaalpie"/>
          <w:rFonts w:ascii="Arial Narrow" w:eastAsia="Arial Narrow" w:hAnsi="Arial Narrow" w:cs="Arial Narrow"/>
          <w:sz w:val="24"/>
          <w:szCs w:val="24"/>
        </w:rPr>
        <w:footnoteReference w:id="26"/>
      </w:r>
      <w:r>
        <w:rPr>
          <w:rFonts w:ascii="Arial Narrow" w:eastAsia="Arial Narrow" w:hAnsi="Arial Narrow" w:cs="Arial Narrow"/>
          <w:sz w:val="24"/>
          <w:szCs w:val="24"/>
        </w:rPr>
        <w:t xml:space="preserve">  y “constituyen la normativa básica internacional sobre desplazamiento interno en el mundo entero, replantean y compilan las normas del derecho internacional de los derechos humanos y del derecho humanitario”. Estos principios fueron incluidos en el Bloque de constitucionalidad en sentido lato mediante Sentencia T-821 de 2007 de la Corte Constitucional.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su Sección II. Principios relativos a la protección contra los desplazamientos establecen: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i/>
          <w:sz w:val="24"/>
          <w:szCs w:val="24"/>
        </w:rPr>
        <w:t xml:space="preserve">Protección frente al desplazamiento </w:t>
      </w:r>
      <w:r>
        <w:rPr>
          <w:rFonts w:ascii="Arial Narrow" w:eastAsia="Arial Narrow" w:hAnsi="Arial Narrow" w:cs="Arial Narrow"/>
          <w:sz w:val="24"/>
          <w:szCs w:val="24"/>
        </w:rPr>
        <w:tab/>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i/>
          <w:sz w:val="24"/>
          <w:szCs w:val="24"/>
        </w:rPr>
        <w:t>1. Las autoridades nacionales tienen la obligación y la responsabilidad primarias de proporcionar protección y asistencia humanitaria a los desplazados internos que se encuentren en el ámbito de su jurisdicción. 2. Los desplazados internos tienen derecho a solicitar y recibir protección y asistencia humanitaria de esas autoridades.</w:t>
      </w:r>
      <w:r>
        <w:rPr>
          <w:rFonts w:ascii="Arial Narrow" w:eastAsia="Arial Narrow" w:hAnsi="Arial Narrow" w:cs="Arial Narrow"/>
          <w:sz w:val="24"/>
          <w:szCs w:val="24"/>
        </w:rPr>
        <w:t xml:space="preserve">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i/>
          <w:sz w:val="24"/>
          <w:szCs w:val="24"/>
        </w:rPr>
        <w:t>Prevención del Desplazamiento</w:t>
      </w:r>
      <w:r>
        <w:rPr>
          <w:rFonts w:ascii="Arial Narrow" w:eastAsia="Arial Narrow" w:hAnsi="Arial Narrow" w:cs="Arial Narrow"/>
          <w:sz w:val="24"/>
          <w:szCs w:val="24"/>
        </w:rPr>
        <w:tab/>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i/>
          <w:sz w:val="24"/>
          <w:szCs w:val="24"/>
        </w:rPr>
        <w:t>1. Antes de decidir el desplazamiento de personas, las autoridades competentes se asegurarán de que se han explorado todas las alternativas viables para evitarlo. Cuando no quede ninguna alternativa, se tomarán todas las medidas necesarias para minimizar el desplazamiento y sus efectos adversos. 2. Las autoridades responsables del desplazamiento se asegurarán en la mayor medida posible de que se facilita alojamiento adecuado a las personas desplazadas, de que el desplazamiento se realiza en condiciones satisfactorias de seguridad, alimentación, salud e higiene y de que no se separa a los miembros de la misma familia.</w:t>
      </w:r>
      <w:r>
        <w:rPr>
          <w:rFonts w:ascii="Arial Narrow" w:eastAsia="Arial Narrow" w:hAnsi="Arial Narrow" w:cs="Arial Narrow"/>
          <w:sz w:val="24"/>
          <w:szCs w:val="24"/>
        </w:rPr>
        <w:t xml:space="preserve">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sz w:val="24"/>
          <w:szCs w:val="24"/>
        </w:rPr>
        <w:t>Principio 18. Derecho al nivel de vida adecuado</w:t>
      </w:r>
      <w:r>
        <w:rPr>
          <w:rFonts w:ascii="Arial Narrow" w:eastAsia="Arial Narrow" w:hAnsi="Arial Narrow" w:cs="Arial Narrow"/>
          <w:sz w:val="24"/>
          <w:szCs w:val="24"/>
        </w:rPr>
        <w:tab/>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1. Los desplazados internos tienen derecho a un nivel de vida adecuado.2. Cualesquiera que sean las circunstancias, las autoridades competentes suministrarán a los desplazados internos, como mínimo y sin discriminación, y se cerciorarán de que pueden recibir en condiciones de seguridad: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a) alimentos indispensables y agua potable;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b) cobijo y alojamiento básicos;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c) vestido adecuado; y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 servicios médicos y de saneamiento indispensables.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Sección IV Principios relativos a la asistencia humanitaria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sz w:val="24"/>
          <w:szCs w:val="24"/>
        </w:rPr>
        <w:lastRenderedPageBreak/>
        <w:t>Principio 27. Consideración de las necesidades de los desplazados</w:t>
      </w:r>
      <w:r>
        <w:rPr>
          <w:rFonts w:ascii="Arial Narrow" w:eastAsia="Arial Narrow" w:hAnsi="Arial Narrow" w:cs="Arial Narrow"/>
          <w:sz w:val="24"/>
          <w:szCs w:val="24"/>
        </w:rPr>
        <w:tab/>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1.Proporcionar la asistencia, las organizaciones humanitarias internacionales y los demás partícipes competentes prestarán la debida consideración a la protección de las necesidades y derechos humanos de los desplazados internos y adoptarán las medidas oportunas a este respecto.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Sección V Principios relativos al regreso, reasentamiento y la reintegración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Principio 28. Regreso voluntario, seguro y digno o reasentamiento voluntario.  Las autoridades competentes tienen la obligación y responsabilidad primarias de establecer las condiciones y proporcionar los medios que permitan el regreso voluntario, seguro y digno de los desplazados internos a su hogar o su lugar de residencia habitual, o su reasentamiento voluntario en otra parte del país. Esas autoridades tratarán de facilitar la reintegración de los desplazados internos que hayan regresado o se hayan reasentado en otra parte.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sz w:val="24"/>
          <w:szCs w:val="24"/>
        </w:rPr>
        <w:t>Principio 29. Obligación de prestar asistencia a los desplazados que hayan regresado o se hayan reasentado</w:t>
      </w:r>
      <w:r>
        <w:rPr>
          <w:rFonts w:ascii="Arial Narrow" w:eastAsia="Arial Narrow" w:hAnsi="Arial Narrow" w:cs="Arial Narrow"/>
          <w:sz w:val="24"/>
          <w:szCs w:val="24"/>
        </w:rPr>
        <w:tab/>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2. Las autoridades competentes tienen la obligación y la responsabilidad de prestar asistencia a los desplazados internos que hayan regresado o se hayan reasentado en otra parte, para la recuperación, en la medida de lo posible, de las propiedades o posesiones que abandonaron o de las que fueron desposeídos cuando se desplazaron. Si esa recuperación es imposible, las autoridades competentes concederán a esas personas una indemnización adecuada u otra forma de reparación justa o les prestarán asistencia para que la obtengan.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Los Principios </w:t>
      </w:r>
      <w:proofErr w:type="spellStart"/>
      <w:r>
        <w:rPr>
          <w:rFonts w:ascii="Arial Narrow" w:eastAsia="Arial Narrow" w:hAnsi="Arial Narrow" w:cs="Arial Narrow"/>
          <w:b/>
          <w:sz w:val="24"/>
          <w:szCs w:val="24"/>
        </w:rPr>
        <w:t>Pinheiro</w:t>
      </w:r>
      <w:proofErr w:type="spellEnd"/>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Reconocidos como parte del bloque de constitucionalidad en sentido lato en Colombia Sentencia T-821 de 2007 de la Corte Constitucional, tienen por objeto prestar asistencia a todos los actores competentes, tanto nacionales como internacionales, en el tratamiento de las cuestiones jurídicas y técnicas relativas a la restitución de viviendas, tierras y patrimonio en situaciones de desplazamiento en que las personas afectadas se hayan visto privadas de forma arbitraria o ilegal de sus anteriores hogares, tierras, bienes o lugares de residencia habitual.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Estos Principios se aplican por igual a todos los refugiados, desplazados internos y demás personas desplazadas que se encuentren en situaciones similares y hayan huido de su país pero que tal vez no estén encuadradas en la definición jurídica de refugiado (en lo sucesivo, "refugiados y desplazados"), a quienes se haya privado de forma arbitraria o ilegal de sus anteriores hogares, tierras, bienes o lugares de residencia habitual, independientemente de la naturaleza del desplazamiento o de las circunstancias que lo originaron.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Derecho internacional de los derechos humanos</w:t>
      </w:r>
      <w:r>
        <w:rPr>
          <w:rFonts w:ascii="Arial Narrow" w:eastAsia="Arial Narrow" w:hAnsi="Arial Narrow" w:cs="Arial Narrow"/>
          <w:sz w:val="24"/>
          <w:szCs w:val="24"/>
        </w:rPr>
        <w:t xml:space="preserve">. Estos instrumentos contienen compromisos y obligaciones en cabeza de los Estados que, aunque sin una mención expresa, sirven para responder a las situaciones de desplazamiento por factores ambientales. Entre ellos se destacan instrumentos como la </w:t>
      </w:r>
      <w:r>
        <w:rPr>
          <w:rFonts w:ascii="Arial Narrow" w:eastAsia="Arial Narrow" w:hAnsi="Arial Narrow" w:cs="Arial Narrow"/>
          <w:sz w:val="24"/>
          <w:szCs w:val="24"/>
        </w:rPr>
        <w:lastRenderedPageBreak/>
        <w:t xml:space="preserve">Declaración Universal de Derechos Humanos (1948), el Pacto Internacional de Derechos Civiles y Políticos (1966), el Pacto Internacional de Derechos Económicos Sociales y Culturales (1966), la Convención Europea para la protección de los Derechos Humanos y Libertades Fundamentales (1950), la Convención Americana sobre Derechos Humanos (1969) y la Carta Africana sobre los Derechos Humanos y de los Pueblos (1981).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Lineamientos para la formulación de políticas públicas en materia de desplazamiento interno Corte Interamericana de Derechos Humanos CIDH</w:t>
      </w:r>
      <w:r w:rsidR="00897E55">
        <w:rPr>
          <w:rStyle w:val="Refdenotaalpie"/>
          <w:rFonts w:ascii="Arial Narrow" w:eastAsia="Arial Narrow" w:hAnsi="Arial Narrow" w:cs="Arial Narrow"/>
          <w:b/>
          <w:sz w:val="24"/>
          <w:szCs w:val="24"/>
        </w:rPr>
        <w:footnoteReference w:id="27"/>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lineamiento 8 Retorno, reasentamiento y reintegración local: Poderes Ejecutivo, Legislativo y Judicial Adoptar medidas para garantizar soluciones duraderas a las PDI, sin discriminación y de forma segura, digna, informada y voluntaria, entre las que se encuentran, medidas de retorno, integración local y/o reasentamiento.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Poder Legislativo: Adoptar el marco legal que reconozca y garantice los derechos de las PDI al retorno, la integración local o el reasentamiento voluntario en condiciones de seguridad y dignidad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Derecho internacional del medio ambiente.</w:t>
      </w:r>
      <w:r>
        <w:rPr>
          <w:rFonts w:ascii="Arial Narrow" w:eastAsia="Arial Narrow" w:hAnsi="Arial Narrow" w:cs="Arial Narrow"/>
          <w:sz w:val="24"/>
          <w:szCs w:val="24"/>
        </w:rPr>
        <w:t xml:space="preserve"> Convención Marco de las Naciones Unidas sobre Cambio Climático (CMNUCC) de 1992, Protocolo de Kioto (1997)  </w:t>
      </w:r>
      <w:r>
        <w:rPr>
          <w:rFonts w:ascii="Arial Narrow" w:eastAsia="Arial Narrow" w:hAnsi="Arial Narrow" w:cs="Arial Narrow"/>
          <w:sz w:val="24"/>
          <w:szCs w:val="24"/>
          <w:vertAlign w:val="superscript"/>
        </w:rPr>
        <w:t xml:space="preserve"> </w:t>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Marco de Adaptación de Cancún</w:t>
      </w:r>
      <w:r w:rsidR="00897E55">
        <w:rPr>
          <w:rStyle w:val="Refdenotaalpie"/>
          <w:rFonts w:ascii="Arial Narrow" w:eastAsia="Arial Narrow" w:hAnsi="Arial Narrow" w:cs="Arial Narrow"/>
          <w:sz w:val="24"/>
          <w:szCs w:val="24"/>
        </w:rPr>
        <w:footnoteReference w:id="28"/>
      </w:r>
      <w:r>
        <w:rPr>
          <w:rFonts w:ascii="Arial Narrow" w:eastAsia="Arial Narrow" w:hAnsi="Arial Narrow" w:cs="Arial Narrow"/>
          <w:sz w:val="24"/>
          <w:szCs w:val="24"/>
        </w:rPr>
        <w:t>. “En dicho instrumento, la Conferencia de las Partes en la CMNUCC reconoció la importancia de adoptar acciones relativas a los desplazamientos, la migración y la relocalización planificada de grupos humanos inducidos por el cambio climático, y exhortó a los Estados a tomar medidas para el manejo de este tipo de migraciones. En concreto, en dicho documento se invitó a las partes a intensificar las respuestas de adaptación y a adoptar medidas para mejorar el entendimiento, la coordinación y la cooperación “en lo que respecta al desplazamiento, la migración y el traslado planificado como consecuencia del cambio climático, cuando corresponda, a nivel nacional, regional e internacional”</w:t>
      </w:r>
      <w:r w:rsidR="00897E55">
        <w:rPr>
          <w:rStyle w:val="Refdenotaalpie"/>
          <w:rFonts w:ascii="Arial Narrow" w:eastAsia="Arial Narrow" w:hAnsi="Arial Narrow" w:cs="Arial Narrow"/>
          <w:sz w:val="24"/>
          <w:szCs w:val="24"/>
        </w:rPr>
        <w:footnoteReference w:id="29"/>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Acuerdo de París, 2015. “En su artículo 4°, el Acuerdo establece las esferas en las que los Estados deben actuar de manera cooperativa para implementar las medidas en contra de los efectos del cambio climático. Entre otras cuestiones, el Acuerdo hace referencia a: i) sistemas de alerta temprana; ii) preparación para situaciones de emergencia; iii) fenómenos de evolución lenta y los que puedan producir pérdidas y daños permanentes e irreversibles; y iv) evaluación y gestión integral del riesgo. Dicho artículo del Acuerdo establece, además, que los Estados tienen el deber de reforzar la cooperación para fortalecer las medidas </w:t>
      </w:r>
      <w:r>
        <w:rPr>
          <w:rFonts w:ascii="Arial Narrow" w:eastAsia="Arial Narrow" w:hAnsi="Arial Narrow" w:cs="Arial Narrow"/>
          <w:sz w:val="24"/>
          <w:szCs w:val="24"/>
        </w:rPr>
        <w:lastRenderedPageBreak/>
        <w:t>y el apoyo con respecto a las pérdidas y los daños relacionados con los efectos adversos del cambio climático”</w:t>
      </w:r>
      <w:r w:rsidR="00897E55">
        <w:rPr>
          <w:rStyle w:val="Refdenotaalpie"/>
          <w:rFonts w:ascii="Arial Narrow" w:eastAsia="Arial Narrow" w:hAnsi="Arial Narrow" w:cs="Arial Narrow"/>
          <w:sz w:val="24"/>
          <w:szCs w:val="24"/>
        </w:rPr>
        <w:footnoteReference w:id="30"/>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Marco normativo Gestión del Riesgo de Desastres</w:t>
      </w:r>
      <w:r>
        <w:rPr>
          <w:rFonts w:ascii="Arial Narrow" w:eastAsia="Arial Narrow" w:hAnsi="Arial Narrow" w:cs="Arial Narrow"/>
          <w:sz w:val="24"/>
          <w:szCs w:val="24"/>
        </w:rPr>
        <w:t xml:space="preserve">. Marco de Acción de </w:t>
      </w:r>
      <w:proofErr w:type="spellStart"/>
      <w:r>
        <w:rPr>
          <w:rFonts w:ascii="Arial Narrow" w:eastAsia="Arial Narrow" w:hAnsi="Arial Narrow" w:cs="Arial Narrow"/>
          <w:sz w:val="24"/>
          <w:szCs w:val="24"/>
        </w:rPr>
        <w:t>Hyogo</w:t>
      </w:r>
      <w:proofErr w:type="spellEnd"/>
      <w:r>
        <w:rPr>
          <w:rFonts w:ascii="Arial Narrow" w:eastAsia="Arial Narrow" w:hAnsi="Arial Narrow" w:cs="Arial Narrow"/>
          <w:sz w:val="24"/>
          <w:szCs w:val="24"/>
        </w:rPr>
        <w:t xml:space="preserve"> 2005-2015. Reducción de riesgos de desastres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Marco de Acción de Sendai 2015-2030. Este Marco, “se convirtió en una nueva hoja de ruta para la prevención, reducción y gestión del riesgo de desastres y para garantizar la participación de las comunidades en las decisiones de adaptabilidad al cambio climático.</w:t>
      </w:r>
      <w:r w:rsidR="00897E55">
        <w:rPr>
          <w:rStyle w:val="Refdenotaalpie"/>
          <w:rFonts w:ascii="Arial Narrow" w:eastAsia="Arial Narrow" w:hAnsi="Arial Narrow" w:cs="Arial Narrow"/>
          <w:sz w:val="24"/>
          <w:szCs w:val="24"/>
        </w:rPr>
        <w:footnoteReference w:id="31"/>
      </w:r>
      <w:r>
        <w:rPr>
          <w:rFonts w:ascii="Arial Narrow" w:eastAsia="Arial Narrow" w:hAnsi="Arial Narrow" w:cs="Arial Narrow"/>
          <w:sz w:val="24"/>
          <w:szCs w:val="24"/>
        </w:rPr>
        <w:t xml:space="preserve"> Este documento introdujo el concepto de “reconstruir mejor”, que apunta a que, los Estados parte adopten medidas de preparación y contingencia para eventos de desastre, garantizando la participación de todos los sectores y actores afectados</w:t>
      </w:r>
      <w:r w:rsidR="00897E55">
        <w:rPr>
          <w:rStyle w:val="Refdenotaalpie"/>
          <w:rFonts w:ascii="Arial Narrow" w:eastAsia="Arial Narrow" w:hAnsi="Arial Narrow" w:cs="Arial Narrow"/>
          <w:sz w:val="24"/>
          <w:szCs w:val="24"/>
        </w:rPr>
        <w:footnoteReference w:id="32"/>
      </w:r>
      <w:r>
        <w:rPr>
          <w:rFonts w:ascii="Arial Narrow" w:eastAsia="Arial Narrow" w:hAnsi="Arial Narrow" w:cs="Arial Narrow"/>
          <w:sz w:val="24"/>
          <w:szCs w:val="24"/>
        </w:rPr>
        <w:t>.”</w:t>
      </w:r>
      <w:r w:rsidR="00897E55">
        <w:rPr>
          <w:rStyle w:val="Refdenotaalpie"/>
          <w:rFonts w:ascii="Arial Narrow" w:eastAsia="Arial Narrow" w:hAnsi="Arial Narrow" w:cs="Arial Narrow"/>
          <w:sz w:val="24"/>
          <w:szCs w:val="24"/>
        </w:rPr>
        <w:footnoteReference w:id="33"/>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 “Plataforma sobre Desplazamiento por Desastres”, vinculada al Marco de Acción de Sendai. 2015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Informes de Relatores de Naciones Unidas.</w:t>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Informe del Relator de Naciones Unidas sobre los Derechos Humanos de los Desplazados Internos, Walter </w:t>
      </w:r>
      <w:proofErr w:type="spellStart"/>
      <w:r>
        <w:rPr>
          <w:rFonts w:ascii="Arial Narrow" w:eastAsia="Arial Narrow" w:hAnsi="Arial Narrow" w:cs="Arial Narrow"/>
          <w:sz w:val="24"/>
          <w:szCs w:val="24"/>
        </w:rPr>
        <w:t>Kälin</w:t>
      </w:r>
      <w:proofErr w:type="spellEnd"/>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Informe de la ex Relatora Cecilia Jiménez-</w:t>
      </w:r>
      <w:proofErr w:type="spellStart"/>
      <w:r>
        <w:rPr>
          <w:rFonts w:ascii="Arial Narrow" w:eastAsia="Arial Narrow" w:hAnsi="Arial Narrow" w:cs="Arial Narrow"/>
          <w:sz w:val="24"/>
          <w:szCs w:val="24"/>
        </w:rPr>
        <w:t>Damary</w:t>
      </w:r>
      <w:proofErr w:type="spellEnd"/>
      <w:r>
        <w:rPr>
          <w:rFonts w:ascii="Arial Narrow" w:eastAsia="Arial Narrow" w:hAnsi="Arial Narrow" w:cs="Arial Narrow"/>
          <w:sz w:val="24"/>
          <w:szCs w:val="24"/>
        </w:rPr>
        <w:t>, desplazamientos en el contexto de los efectos adversos del cambio climático de evolución lenta</w:t>
      </w:r>
      <w:r w:rsidR="00897E55">
        <w:rPr>
          <w:rStyle w:val="Refdenotaalpie"/>
          <w:rFonts w:ascii="Arial Narrow" w:eastAsia="Arial Narrow" w:hAnsi="Arial Narrow" w:cs="Arial Narrow"/>
          <w:sz w:val="24"/>
          <w:szCs w:val="24"/>
        </w:rPr>
        <w:footnoteReference w:id="34"/>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Informe del ex Relator </w:t>
      </w:r>
      <w:proofErr w:type="spellStart"/>
      <w:r>
        <w:rPr>
          <w:rFonts w:ascii="Arial Narrow" w:eastAsia="Arial Narrow" w:hAnsi="Arial Narrow" w:cs="Arial Narrow"/>
          <w:sz w:val="24"/>
          <w:szCs w:val="24"/>
        </w:rPr>
        <w:t>Chaloka</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Beyani</w:t>
      </w:r>
      <w:proofErr w:type="spellEnd"/>
      <w:r>
        <w:rPr>
          <w:rFonts w:ascii="Arial Narrow" w:eastAsia="Arial Narrow" w:hAnsi="Arial Narrow" w:cs="Arial Narrow"/>
          <w:sz w:val="24"/>
          <w:szCs w:val="24"/>
        </w:rPr>
        <w:t xml:space="preserve"> sobre los derechos humanos de los desplazados internos</w:t>
      </w:r>
      <w:r w:rsidR="00897E55">
        <w:rPr>
          <w:rStyle w:val="Refdenotaalpie"/>
          <w:rFonts w:ascii="Arial Narrow" w:eastAsia="Arial Narrow" w:hAnsi="Arial Narrow" w:cs="Arial Narrow"/>
          <w:sz w:val="24"/>
          <w:szCs w:val="24"/>
        </w:rPr>
        <w:footnoteReference w:id="35"/>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Otros instrumentos</w:t>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Principios de Península sobre Desplazamiento Climático</w:t>
      </w:r>
      <w:r w:rsidR="00481917">
        <w:rPr>
          <w:rStyle w:val="Refdenotaalpie"/>
          <w:rFonts w:ascii="Arial Narrow" w:eastAsia="Arial Narrow" w:hAnsi="Arial Narrow" w:cs="Arial Narrow"/>
          <w:sz w:val="24"/>
          <w:szCs w:val="24"/>
        </w:rPr>
        <w:footnoteReference w:id="36"/>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Pacto Mundial para la Migración Segura, Ordenada y Regular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Estrategia Institucional sobre Migración, Medio Ambiente y Cambio Climático 2021-2030</w:t>
      </w:r>
      <w:r w:rsidR="00481917">
        <w:rPr>
          <w:rStyle w:val="Refdenotaalpie"/>
          <w:rFonts w:ascii="Arial Narrow" w:eastAsia="Arial Narrow" w:hAnsi="Arial Narrow" w:cs="Arial Narrow"/>
          <w:sz w:val="24"/>
          <w:szCs w:val="24"/>
        </w:rPr>
        <w:footnoteReference w:id="37"/>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Panel de alto nivel sobre el desplazamiento forzado interno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Marco IASC de soluciones duraderas para las personas desplazadas internamente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Convención de la Unión Africana para la protección y la Asistencia de los desplazados internos de África Convención Kampala 2009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Principios básicos y directrices de las Naciones Unidas sobre los desalojos y el desplazamiento generados por el desarrollo, 2007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6. MARCO NORMATIVO NACIONAL </w:t>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Desplazamiento forzado interno</w:t>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Ley 387 de 1997. Por la cual se adoptan medidas para la prevención del desplazamiento forzado; la atención, protección, consolidación y estabilización socioeconómica de los desplazados internos por la violencia en la República de Colombia."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Ley 1448 de 2011."Por la cual se dictan medidas de atención, asistencia y reparación integral a las víctimas del conflicto armado interno y se dictan otras disposiciones."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Decreto 2569/2000 por el cual se reglamenta parcialmente la Ley 387 de 1997 y se dictan otras disposiciones.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sz w:val="24"/>
          <w:szCs w:val="24"/>
        </w:rPr>
        <w:t>Decreto 2007/2000</w:t>
      </w:r>
      <w:r>
        <w:rPr>
          <w:rFonts w:ascii="Arial Narrow" w:eastAsia="Arial Narrow" w:hAnsi="Arial Narrow" w:cs="Arial Narrow"/>
          <w:sz w:val="24"/>
          <w:szCs w:val="24"/>
        </w:rPr>
        <w:tab/>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el cual se reglamentan parcialmente los Artículos 7º, 17 y 19 de la Ley 387 de 1997, en lo relativo a la oportuna atención a la población rural desplazada por la violencia, en el marco del retorno voluntario a su lugar de origen o de su reasentamiento.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sz w:val="24"/>
          <w:szCs w:val="24"/>
        </w:rPr>
        <w:t>Decreto 250/2005</w:t>
      </w:r>
      <w:r>
        <w:rPr>
          <w:rFonts w:ascii="Arial Narrow" w:eastAsia="Arial Narrow" w:hAnsi="Arial Narrow" w:cs="Arial Narrow"/>
          <w:sz w:val="24"/>
          <w:szCs w:val="24"/>
        </w:rPr>
        <w:tab/>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el cual se expide el Plan Nacional para la Atención Integral a la Población Desplazada por la Violencia y se dictan otras disposiciones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sz w:val="24"/>
          <w:szCs w:val="24"/>
        </w:rPr>
        <w:t>Decreto 4633/11</w:t>
      </w:r>
      <w:r>
        <w:rPr>
          <w:rFonts w:ascii="Arial Narrow" w:eastAsia="Arial Narrow" w:hAnsi="Arial Narrow" w:cs="Arial Narrow"/>
          <w:sz w:val="24"/>
          <w:szCs w:val="24"/>
        </w:rPr>
        <w:tab/>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medio del cual se dictan medidas de asistencia, atención, reparación integral y de restitución de derechos territoriales a las víctimas pertenecientes a los Pueblos y Comunidades indígenas.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sz w:val="24"/>
          <w:szCs w:val="24"/>
        </w:rPr>
        <w:lastRenderedPageBreak/>
        <w:t>Decreto 4634/11</w:t>
      </w:r>
      <w:r>
        <w:rPr>
          <w:rFonts w:ascii="Arial Narrow" w:eastAsia="Arial Narrow" w:hAnsi="Arial Narrow" w:cs="Arial Narrow"/>
          <w:sz w:val="24"/>
          <w:szCs w:val="24"/>
        </w:rPr>
        <w:tab/>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el cual se dictan medidas de asistencia, atención, reparación integral y restitución de tierras a las víctimas pertenecientes al pueblo </w:t>
      </w:r>
      <w:proofErr w:type="spellStart"/>
      <w:r>
        <w:rPr>
          <w:rFonts w:ascii="Arial Narrow" w:eastAsia="Arial Narrow" w:hAnsi="Arial Narrow" w:cs="Arial Narrow"/>
          <w:sz w:val="24"/>
          <w:szCs w:val="24"/>
        </w:rPr>
        <w:t>Rrom</w:t>
      </w:r>
      <w:proofErr w:type="spellEnd"/>
      <w:r>
        <w:rPr>
          <w:rFonts w:ascii="Arial Narrow" w:eastAsia="Arial Narrow" w:hAnsi="Arial Narrow" w:cs="Arial Narrow"/>
          <w:sz w:val="24"/>
          <w:szCs w:val="24"/>
        </w:rPr>
        <w:t xml:space="preserve"> o Gitano.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sz w:val="24"/>
          <w:szCs w:val="24"/>
        </w:rPr>
        <w:t>Decreto 4635/11</w:t>
      </w:r>
      <w:r>
        <w:rPr>
          <w:rFonts w:ascii="Arial Narrow" w:eastAsia="Arial Narrow" w:hAnsi="Arial Narrow" w:cs="Arial Narrow"/>
          <w:sz w:val="24"/>
          <w:szCs w:val="24"/>
        </w:rPr>
        <w:tab/>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el cual se dictan medidas de asistencia, atención, reparación integral y de restitución de tierras a las víctimas pertenecientes a comunidades negras, afrocolombianas, raizales y </w:t>
      </w:r>
      <w:proofErr w:type="spellStart"/>
      <w:r>
        <w:rPr>
          <w:rFonts w:ascii="Arial Narrow" w:eastAsia="Arial Narrow" w:hAnsi="Arial Narrow" w:cs="Arial Narrow"/>
          <w:sz w:val="24"/>
          <w:szCs w:val="24"/>
        </w:rPr>
        <w:t>palenqueras</w:t>
      </w:r>
      <w:proofErr w:type="spellEnd"/>
      <w:r>
        <w:rPr>
          <w:rFonts w:ascii="Arial Narrow" w:eastAsia="Arial Narrow" w:hAnsi="Arial Narrow" w:cs="Arial Narrow"/>
          <w:sz w:val="24"/>
          <w:szCs w:val="24"/>
        </w:rPr>
        <w:t xml:space="preserve">.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sz w:val="24"/>
          <w:szCs w:val="24"/>
        </w:rPr>
        <w:t>Decreto 4800/11</w:t>
      </w:r>
      <w:r>
        <w:rPr>
          <w:rFonts w:ascii="Arial Narrow" w:eastAsia="Arial Narrow" w:hAnsi="Arial Narrow" w:cs="Arial Narrow"/>
          <w:sz w:val="24"/>
          <w:szCs w:val="24"/>
        </w:rPr>
        <w:tab/>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el cual se reglamenta la Ley 1448 de 2011 y se dictan otras disposiciones.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sz w:val="24"/>
          <w:szCs w:val="24"/>
        </w:rPr>
        <w:t>Decreto 4829/11</w:t>
      </w:r>
      <w:r>
        <w:rPr>
          <w:rFonts w:ascii="Arial Narrow" w:eastAsia="Arial Narrow" w:hAnsi="Arial Narrow" w:cs="Arial Narrow"/>
          <w:sz w:val="24"/>
          <w:szCs w:val="24"/>
        </w:rPr>
        <w:tab/>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el cual se reglamenta el capítulo 111 del título IV de la Ley 1448 de 2011 en relación con la restitución de tierras.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sz w:val="24"/>
          <w:szCs w:val="24"/>
        </w:rPr>
        <w:t>Resolución 00351 de 2015 - Unidad para las Víctimas​</w:t>
      </w:r>
      <w:r>
        <w:rPr>
          <w:rFonts w:ascii="Arial Narrow" w:eastAsia="Arial Narrow" w:hAnsi="Arial Narrow" w:cs="Arial Narrow"/>
          <w:sz w:val="24"/>
          <w:szCs w:val="24"/>
        </w:rPr>
        <w:tab/>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la cual se desarrolla el procedimiento para la entrega de atención humanitaria de emergencia y transición a las víctimas de desplazamiento forzado incluidas en el Registro Único de Víctimas - RUV​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sz w:val="24"/>
          <w:szCs w:val="24"/>
        </w:rPr>
        <w:t>Resolución 01126 de 2015 ​</w:t>
      </w:r>
      <w:r>
        <w:rPr>
          <w:rFonts w:ascii="Arial Narrow" w:eastAsia="Arial Narrow" w:hAnsi="Arial Narrow" w:cs="Arial Narrow"/>
          <w:sz w:val="24"/>
          <w:szCs w:val="24"/>
        </w:rPr>
        <w:tab/>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la cual se adoptan los criterios técnicos de evaluación de la superación de la situación de vulnerabilidad y el índice Global de Restablecimiento Social y Económico de las víctimas de desplazamiento forzado ​​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sz w:val="24"/>
          <w:szCs w:val="24"/>
        </w:rPr>
        <w:t>​Resolución 289 de 2016</w:t>
      </w:r>
      <w:r>
        <w:rPr>
          <w:rFonts w:ascii="Arial Narrow" w:eastAsia="Arial Narrow" w:hAnsi="Arial Narrow" w:cs="Arial Narrow"/>
          <w:sz w:val="24"/>
          <w:szCs w:val="24"/>
        </w:rPr>
        <w:tab/>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la cual se define el proceso de aplicación de los principios de subsidiariedad y concurrencia, en la estrategia de corresponsabilidad para la vigencia 2016.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Gestión del Cambio Climático</w:t>
      </w:r>
      <w:r w:rsidR="00481917">
        <w:rPr>
          <w:rStyle w:val="Refdenotaalpie"/>
          <w:rFonts w:ascii="Arial Narrow" w:eastAsia="Arial Narrow" w:hAnsi="Arial Narrow" w:cs="Arial Narrow"/>
          <w:b/>
          <w:sz w:val="24"/>
          <w:szCs w:val="24"/>
        </w:rPr>
        <w:footnoteReference w:id="38"/>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la Ley 1450 del 2011, ordenó la creación de cuatro mecanismos para la adaptación al cambio climático: el Plan Nacional de Adaptación al Cambio Climático, la Estrategia de Desarrollo Bajo en Carbono (ECDBC en adelante)</w:t>
      </w:r>
      <w:r w:rsidR="00481917">
        <w:rPr>
          <w:rStyle w:val="Refdenotaalpie"/>
          <w:rFonts w:ascii="Arial Narrow" w:eastAsia="Arial Narrow" w:hAnsi="Arial Narrow" w:cs="Arial Narrow"/>
          <w:sz w:val="24"/>
          <w:szCs w:val="24"/>
        </w:rPr>
        <w:footnoteReference w:id="39"/>
      </w:r>
      <w:r>
        <w:rPr>
          <w:rFonts w:ascii="Arial Narrow" w:eastAsia="Arial Narrow" w:hAnsi="Arial Narrow" w:cs="Arial Narrow"/>
          <w:sz w:val="24"/>
          <w:szCs w:val="24"/>
        </w:rPr>
        <w:t xml:space="preserve">, la Estrategia Nacional para la Reducción de Emisiones por Deforestación y Degradación Forestal (REDD+) y la Estrategia financiera para disminuir la vulnerabilidad fiscal del Estado ante la </w:t>
      </w:r>
      <w:r>
        <w:rPr>
          <w:rFonts w:ascii="Arial Narrow" w:eastAsia="Arial Narrow" w:hAnsi="Arial Narrow" w:cs="Arial Narrow"/>
          <w:sz w:val="24"/>
          <w:szCs w:val="24"/>
        </w:rPr>
        <w:lastRenderedPageBreak/>
        <w:t xml:space="preserve">ocurrencia de un desastre natural. Con posterioridad a esta ley, se adoptó el </w:t>
      </w:r>
      <w:proofErr w:type="spellStart"/>
      <w:r>
        <w:rPr>
          <w:rFonts w:ascii="Arial Narrow" w:eastAsia="Arial Narrow" w:hAnsi="Arial Narrow" w:cs="Arial Narrow"/>
          <w:sz w:val="24"/>
          <w:szCs w:val="24"/>
        </w:rPr>
        <w:t>Conpes</w:t>
      </w:r>
      <w:proofErr w:type="spellEnd"/>
      <w:r>
        <w:rPr>
          <w:rFonts w:ascii="Arial Narrow" w:eastAsia="Arial Narrow" w:hAnsi="Arial Narrow" w:cs="Arial Narrow"/>
          <w:sz w:val="24"/>
          <w:szCs w:val="24"/>
        </w:rPr>
        <w:t xml:space="preserve"> 3700 de 2011 en el que se diseñó la estrategia institucional para la articulación de políticas y acciones en materia de cambio climático en Colombia</w:t>
      </w:r>
      <w:r>
        <w:rPr>
          <w:rFonts w:ascii="Arial Narrow" w:eastAsia="Arial Narrow" w:hAnsi="Arial Narrow" w:cs="Arial Narrow"/>
          <w:b/>
          <w:sz w:val="24"/>
          <w:szCs w:val="24"/>
        </w:rPr>
        <w:t>.</w:t>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Instrumentos de Mitigación: la ECDBC, la Estrategia de política de gestión financiera ante el riesgo de desastres por fenómenos de la naturaleza, el Programa Nacional de Cupos Transables de Emisión de Gases de Efecto Invernadero (PNCTE)</w:t>
      </w:r>
      <w:r w:rsidR="00481917">
        <w:rPr>
          <w:rStyle w:val="Refdenotaalpie"/>
          <w:rFonts w:ascii="Arial Narrow" w:eastAsia="Arial Narrow" w:hAnsi="Arial Narrow" w:cs="Arial Narrow"/>
          <w:sz w:val="24"/>
          <w:szCs w:val="24"/>
        </w:rPr>
        <w:footnoteReference w:id="40"/>
      </w:r>
      <w:r>
        <w:rPr>
          <w:rFonts w:ascii="Arial Narrow" w:eastAsia="Arial Narrow" w:hAnsi="Arial Narrow" w:cs="Arial Narrow"/>
          <w:sz w:val="24"/>
          <w:szCs w:val="24"/>
        </w:rPr>
        <w:t xml:space="preserve">, y la Ley 2169 de 2021 que impulsó el desarrollo bajo en carbono del país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Instrumentos de adaptación: Plan Nacional de Adaptación al Cambio Climático (PNACC)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Decreto 298 de 2016, que creó el Sistema Nacional de Cambio Climático (SISCLIMA), para coordinar, articular, formular y hacer seguimiento y evaluación a las políticas, normas y estrategias en materia de adaptación al cambio climático y a la mitigación de gases efecto invernadero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Ley 1931 de 2018, fijó una serie de directrices para la gestión del cambio climático, entre otras, la obligatoriedad de adoptar “Planes Integrados de Gestión del Cambio Climático Sectoriales” en el nivel nacional y “Planes Integrados de Gestión del Cambio Climático Territoriales” en el nivel territorial para adoptar, entre otras finalidades, medidas de adaptación al cambio climático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“Estrategia Climática de Largo Plazo de Colombia” (E2050), orientada a promover resiliencia frente a las transformaciones del clima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Gestión del Riesgo</w:t>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i/>
          <w:sz w:val="24"/>
          <w:szCs w:val="24"/>
        </w:rPr>
        <w:t>Ley 1523 de 2011</w:t>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la cual se adopta la política Nacional de Gestión de Riesgos de Desastres y se establece el Sistema Nacional para la Gestión de Riesgos de Desastres (SNGRD) y se dictan otras disposiciones”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Definida así misma como “un proceso social” (art. 1), contempla la implementación de instrumentos jurídicos para adelantar los procesos de reasentamiento basado en la prevención del riesgo. La atención de áreas con amenazas altas o situaciones de desastre permiten la expropiación y la creación de reservas de tierra con dicha finalidad (art. 40, Función Pública).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regulación del SNGRD no hace alusión explícita al fenómeno del desplazamiento forzado por razones ambientales. Sin embargo, algunos planes y actuaciones podrían constituir medidas de atención y protección de las víctimas de ese fenómeno. En particular: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sz w:val="24"/>
          <w:szCs w:val="24"/>
        </w:rPr>
        <w:t>(i)</w:t>
      </w:r>
      <w:r>
        <w:rPr>
          <w:rFonts w:ascii="Arial Narrow" w:eastAsia="Arial Narrow" w:hAnsi="Arial Narrow" w:cs="Arial Narrow"/>
          <w:sz w:val="24"/>
          <w:szCs w:val="24"/>
        </w:rPr>
        <w:tab/>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el SNGRD prevé diferentes instrumentos tales como el Plan Nacional de Gestión del Riesgo de Desastres, el cual debe incluir acciones para la recuperación (que incluyen la rehabilitación y reconstrucción). Por su parte, la estrategia de respuesta debe optimizar la prestación de servicios básicos relacionados con la salud y el saneamiento, la búsqueda y rescate, albergues y alimentación, la prestación de servicios públicos y la seguridad y convivencia, entre otros.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sz w:val="24"/>
          <w:szCs w:val="24"/>
        </w:rPr>
        <w:t>(ii)</w:t>
      </w:r>
      <w:r>
        <w:rPr>
          <w:rFonts w:ascii="Arial Narrow" w:eastAsia="Arial Narrow" w:hAnsi="Arial Narrow" w:cs="Arial Narrow"/>
          <w:sz w:val="24"/>
          <w:szCs w:val="24"/>
        </w:rPr>
        <w:tab/>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SNGRD también establece que la gestión del riesgo de desastres debe adelantarse a través de la planificación territorial. En ese sentido, precisa que los municipios, los distritos y los departamentos deben tener en cuenta las previsiones de la Ley 9 de 1989 y la Ley 388 de 1999, dentro de las que se destaca la inclusión de: (i) mecanismos para el inventario de asentamientos en riesgo; (ii) la identificación, delimitación y tratamiento de  las zonas expuestas a amenazas derivadas de fenómenos naturales, socio naturales o antropogénicos no intencionales que incluyan los mecanismos de reubicación de asentamientos; (iii) la transformación del uso asignado a dichas zonas para prevenir reasentamientos de alto riesgo; (iv) la constitución de reservas de tierras para posibles reasentamientos; y (v) el uso de mecanismos jurídicos de adquisición y expropiación de inmuebles necesarios para lograr la reubicación de poblaciones en alto riesgo .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sz w:val="24"/>
          <w:szCs w:val="24"/>
        </w:rPr>
        <w:t>(iii)</w:t>
      </w:r>
      <w:r>
        <w:rPr>
          <w:rFonts w:ascii="Arial Narrow" w:eastAsia="Arial Narrow" w:hAnsi="Arial Narrow" w:cs="Arial Narrow"/>
          <w:sz w:val="24"/>
          <w:szCs w:val="24"/>
        </w:rPr>
        <w:tab/>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SNGRD establece la obligación de la UNGRD –en el nivel nacional– y de las gobernaciones y alcaldías –en el nivel territorial– de elaborar y ejecutar planes de acción específicos para la rehabilitación y reconstrucción de las áreas afectadas cuando se declare una situación de desastre o calamidad pública.  </w:t>
      </w:r>
    </w:p>
    <w:p w:rsidR="00DD3391" w:rsidRDefault="00CA2042">
      <w:pPr>
        <w:shd w:val="clear" w:color="auto" w:fill="FFFFFF"/>
        <w:spacing w:after="200"/>
        <w:rPr>
          <w:rFonts w:ascii="Arial Narrow" w:eastAsia="Arial Narrow" w:hAnsi="Arial Narrow" w:cs="Arial Narrow"/>
          <w:sz w:val="24"/>
          <w:szCs w:val="24"/>
        </w:rPr>
      </w:pPr>
      <w:r>
        <w:rPr>
          <w:rFonts w:ascii="Arial Narrow" w:eastAsia="Arial Narrow" w:hAnsi="Arial Narrow" w:cs="Arial Narrow"/>
          <w:sz w:val="24"/>
          <w:szCs w:val="24"/>
        </w:rPr>
        <w:t>(iv)</w:t>
      </w:r>
      <w:r>
        <w:rPr>
          <w:rFonts w:ascii="Arial Narrow" w:eastAsia="Arial Narrow" w:hAnsi="Arial Narrow" w:cs="Arial Narrow"/>
          <w:sz w:val="24"/>
          <w:szCs w:val="24"/>
        </w:rPr>
        <w:tab/>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SNGRD señala que, en la etapa de recuperación, la cual incluye la rehabilitación y reconstrucción, las autoridades deben adoptar acciones para el restablecimiento de las condiciones normales de vida de la población afectada. Esto supone, ofrecer soluciones para la reubicación y reasentamiento de los damnificados.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Asimismo, la Ley 1523 de 2012 desarrolla un régimen especial que activa diferentes facultades para la atención de situaciones de desastre y calamidad pública. Este régimen especial comporta una serie de medidas y prerrogativas más amplias en cabeza de las autoridades, las cuales están previstas en los artículos 65 a 89 de dicha ley.”</w:t>
      </w:r>
      <w:r w:rsidR="00481917">
        <w:rPr>
          <w:rStyle w:val="Refdenotaalpie"/>
          <w:rFonts w:ascii="Arial Narrow" w:eastAsia="Arial Narrow" w:hAnsi="Arial Narrow" w:cs="Arial Narrow"/>
          <w:sz w:val="24"/>
          <w:szCs w:val="24"/>
        </w:rPr>
        <w:footnoteReference w:id="41"/>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Decreto 0978 de 2024. "Por medio del cual se adopta la segunda actualización del Plan Nacional de Gestión del Riesgo de Desastres, y se dictan otras disposiciones"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Jurisprudencia</w:t>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Sobre derechos de personas que habitan en zonas de alto riesgo: Sentencias T-585 de 2008, T-624 de 2011, T-816 de 2012, T-046 de 2015 y T-327 de 2018; derechos de personas afectadas por eventos climáticos extremos: T 530 de 2011, T-295 de 2013, T- 355 de 2013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Sentencia T-369/21 derechos de personas afectadas por desastres naturales y debido proceso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Sentencia 123 de 2024. Reconoce el desplazamiento forzado por factores ambientales, el déficit de protección constitucional a las personas desplazadas por estas causas, ordena regular la materia y formular una política pública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Sentencia 305 de 2024. Reitera jurisprudencia en materia de desplazamiento forzado por factores ambientales. Protege el derecho a una vivienda digna.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Sentencia T-865/11.  Derecho a la vivienda digna. Esta sentencia se pronuncia sobre el deber de las autoridades administrativas de reubicar a las personas asentadas en zonas de alto riesgo no mitigable por remoción de masa - Garantía de acceder a una vivienda digna.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Sentencia T-256/15. Acción de tutela interpuesta por pueblos indígenas contra la empresa Cerrejón, aborda el caso de la comunidad que ha sufrido un proceso de reasentamiento por causa de la actividad carbonífera. La sentencia resuelve conceder el amparo de los derechos al ambiente sano, a la vida, la salud, al agua potable y a la consulta y el consentimiento previo, libre e informado.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7. IMPACTO FISCAL</w:t>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Ley 819 de 2003 “Por la cual se dictan normas orgánicas en materia de presupuesto, responsabilidad y transparencia fiscal y se dictan otras disposiciones”, establece, que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En consecuencia, las iniciativas normativas que ordenen gasto u otorguen beneficios tributarios deben hacer explícito dicho gasto y la compatibilidad con el Marco Fiscal de Mediano Plazo. No obstante, la Corte Constitucional ha precisado en su jurisprudencia –a manera de ejemplo se aprecia la Sentencia C-502 de 2007- que el Análisis del Impacto Fiscal de las Normas se trata de un criterio de racionalización de la actividad legislativa lo cual no puede suponer un veto sobre la misma.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presente proyecto no ordena gasto, no genera beneficios tributarios adicionales, ni impone cargas impositivas a las entidades del orden nacional o territorial, por lo cual no tiene un impacto para las finanzas del gobierno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8. CONFLICTO DE INTERESES</w:t>
      </w:r>
      <w:r>
        <w:rPr>
          <w:rFonts w:ascii="Arial Narrow" w:eastAsia="Arial Narrow" w:hAnsi="Arial Narrow" w:cs="Arial Narrow"/>
          <w:sz w:val="24"/>
          <w:szCs w:val="24"/>
        </w:rPr>
        <w:t xml:space="preserv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Según lo establecido en el artículo 3 de la Ley 2003 de 2019, corresponde enunciar las posibles circunstancias en las que se podría incurrir en conflicto de interés por parte de los congresistas que participen de la discusión y votación del Proyecto de Ley. En ese sentido, señala el artículo 1º de la Ley 2003 de 2019 lo siguiente: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1° El artículo 286 de la Ley 5 de 1992 quedará así: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286. Régimen de conflicto de interés de los congresistas. Todos los congresistas deberán declarar los conflictos de intereses que pudieran surgir en el ejercicio de sus funciones.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 entiende como conflicto de interés una situación donde la discusión o votación de un proyecto de ley o acto legislativo o artículo, pueda resultar en un beneficio particular, actual y directo a favor del congresista.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b) Beneficio actual: aquel que efectivamente se configura en las circunstancias presentes y existentes al momento en el que el congresista participa de la decisión  </w:t>
      </w:r>
    </w:p>
    <w:p w:rsidR="00DD3391" w:rsidRDefault="00CA2042">
      <w:pPr>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c) Beneficio directo: aquel que se produzca de forma específica respecto del congresista, de su cónyuge, compañero o compañera permanente, o parientes dentro del segundo grado de consanguinidad, segundo de afinidad o primero civil.” </w:t>
      </w:r>
    </w:p>
    <w:p w:rsidR="00DD3391" w:rsidRDefault="00CA2042">
      <w:pPr>
        <w:shd w:val="clear" w:color="auto" w:fill="FFFFFF"/>
        <w:spacing w:after="20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Revisadas las disposiciones que contienen la presente iniciativa se concluye que la misma no tiene la potencialidad de generar conflicto de interés a algún congresista por cuanto no crea beneficios particulares, actuales ni directos, y tampoco lo hace para los parientes o familiares por consanguinidad, afinidad o parentesco civil en los términos del artículo 286 y 287 de la Ley 5 de 1992. No obstante, cada congresista estará obligado a evaluar su situación personal sobre eventuales conflictos de interés que puedan existir el estudio de este proyecto de ley.  </w:t>
      </w:r>
    </w:p>
    <w:p w:rsidR="00DD3391" w:rsidRDefault="00CA2042">
      <w:pPr>
        <w:shd w:val="clear" w:color="auto" w:fill="FFFFFF"/>
        <w:spacing w:after="20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9. PLIEGOS DE MODIFICACIONES. </w:t>
      </w:r>
    </w:p>
    <w:p w:rsidR="00DD3391" w:rsidRDefault="00DD3391">
      <w:pPr>
        <w:shd w:val="clear" w:color="auto" w:fill="FFFFFF"/>
        <w:spacing w:after="200"/>
        <w:jc w:val="both"/>
        <w:rPr>
          <w:rFonts w:ascii="Arial Narrow" w:eastAsia="Arial Narrow" w:hAnsi="Arial Narrow" w:cs="Arial Narrow"/>
          <w:b/>
          <w:sz w:val="24"/>
          <w:szCs w:val="24"/>
        </w:rPr>
      </w:pPr>
    </w:p>
    <w:sdt>
      <w:sdtPr>
        <w:tag w:val="goog_rdk_3"/>
        <w:id w:val="-2056003762"/>
        <w:lock w:val="contentLocked"/>
      </w:sdtPr>
      <w:sdtContent>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D3391">
            <w:trPr>
              <w:trHeight w:val="440"/>
            </w:trPr>
            <w:tc>
              <w:tcPr>
                <w:tcW w:w="9360" w:type="dxa"/>
                <w:gridSpan w:val="3"/>
                <w:shd w:val="clear" w:color="auto" w:fill="auto"/>
                <w:tcMar>
                  <w:top w:w="100" w:type="dxa"/>
                  <w:left w:w="100" w:type="dxa"/>
                  <w:bottom w:w="100" w:type="dxa"/>
                  <w:right w:w="100" w:type="dxa"/>
                </w:tcMar>
              </w:tcPr>
              <w:p w:rsidR="00DD3391" w:rsidRDefault="00CA2042">
                <w:pPr>
                  <w:widowControl w:val="0"/>
                  <w:pBdr>
                    <w:top w:val="nil"/>
                    <w:left w:val="nil"/>
                    <w:bottom w:val="nil"/>
                    <w:right w:val="nil"/>
                    <w:between w:val="nil"/>
                  </w:pBdr>
                  <w:spacing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PLIEGO DE MODIFICACIONES.</w:t>
                </w:r>
              </w:p>
            </w:tc>
          </w:tr>
          <w:tr w:rsidR="00DD3391">
            <w:tc>
              <w:tcPr>
                <w:tcW w:w="3120" w:type="dxa"/>
                <w:shd w:val="clear" w:color="auto" w:fill="auto"/>
                <w:tcMar>
                  <w:top w:w="100" w:type="dxa"/>
                  <w:left w:w="100" w:type="dxa"/>
                  <w:bottom w:w="100" w:type="dxa"/>
                  <w:right w:w="100" w:type="dxa"/>
                </w:tcMar>
              </w:tcPr>
              <w:p w:rsidR="00DD3391" w:rsidRDefault="00CA2042">
                <w:pPr>
                  <w:widowControl w:val="0"/>
                  <w:pBdr>
                    <w:top w:val="nil"/>
                    <w:left w:val="nil"/>
                    <w:bottom w:val="nil"/>
                    <w:right w:val="nil"/>
                    <w:between w:val="nil"/>
                  </w:pBdr>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Texto Proyecto de Ley</w:t>
                </w:r>
              </w:p>
            </w:tc>
            <w:tc>
              <w:tcPr>
                <w:tcW w:w="3120" w:type="dxa"/>
                <w:shd w:val="clear" w:color="auto" w:fill="auto"/>
                <w:tcMar>
                  <w:top w:w="100" w:type="dxa"/>
                  <w:left w:w="100" w:type="dxa"/>
                  <w:bottom w:w="100" w:type="dxa"/>
                  <w:right w:w="100" w:type="dxa"/>
                </w:tcMar>
              </w:tcPr>
              <w:p w:rsidR="00DD3391" w:rsidRDefault="00CA2042">
                <w:pPr>
                  <w:widowControl w:val="0"/>
                  <w:pBdr>
                    <w:top w:val="nil"/>
                    <w:left w:val="nil"/>
                    <w:bottom w:val="nil"/>
                    <w:right w:val="nil"/>
                    <w:between w:val="nil"/>
                  </w:pBdr>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Texto propuesto para primer </w:t>
                </w:r>
                <w:r>
                  <w:rPr>
                    <w:rFonts w:ascii="Arial Narrow" w:eastAsia="Arial Narrow" w:hAnsi="Arial Narrow" w:cs="Arial Narrow"/>
                    <w:b/>
                    <w:sz w:val="24"/>
                    <w:szCs w:val="24"/>
                  </w:rPr>
                  <w:lastRenderedPageBreak/>
                  <w:t>debate</w:t>
                </w:r>
              </w:p>
            </w:tc>
            <w:tc>
              <w:tcPr>
                <w:tcW w:w="3120" w:type="dxa"/>
                <w:shd w:val="clear" w:color="auto" w:fill="auto"/>
                <w:tcMar>
                  <w:top w:w="100" w:type="dxa"/>
                  <w:left w:w="100" w:type="dxa"/>
                  <w:bottom w:w="100" w:type="dxa"/>
                  <w:right w:w="100" w:type="dxa"/>
                </w:tcMar>
              </w:tcPr>
              <w:p w:rsidR="00DD3391" w:rsidRDefault="00CA2042">
                <w:pPr>
                  <w:widowControl w:val="0"/>
                  <w:pBdr>
                    <w:top w:val="nil"/>
                    <w:left w:val="nil"/>
                    <w:bottom w:val="nil"/>
                    <w:right w:val="nil"/>
                    <w:between w:val="nil"/>
                  </w:pBdr>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lastRenderedPageBreak/>
                  <w:t>Observaciones</w:t>
                </w:r>
              </w:p>
            </w:tc>
          </w:tr>
          <w:tr w:rsidR="00DD3391">
            <w:tc>
              <w:tcPr>
                <w:tcW w:w="3120" w:type="dxa"/>
                <w:shd w:val="clear" w:color="auto" w:fill="auto"/>
                <w:tcMar>
                  <w:top w:w="100" w:type="dxa"/>
                  <w:left w:w="100" w:type="dxa"/>
                  <w:bottom w:w="100" w:type="dxa"/>
                  <w:right w:w="100" w:type="dxa"/>
                </w:tcMar>
              </w:tcPr>
              <w:p w:rsidR="00DD3391" w:rsidRDefault="00CA2042">
                <w:pPr>
                  <w:widowControl w:val="0"/>
                  <w:pBdr>
                    <w:top w:val="nil"/>
                    <w:left w:val="nil"/>
                    <w:bottom w:val="nil"/>
                    <w:right w:val="nil"/>
                    <w:between w:val="nil"/>
                  </w:pBd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highlight w:val="white"/>
                  </w:rPr>
                  <w:t xml:space="preserve">Artículo 1. Objeto. </w:t>
                </w:r>
                <w:r>
                  <w:rPr>
                    <w:rFonts w:ascii="Arial Narrow" w:eastAsia="Arial Narrow" w:hAnsi="Arial Narrow" w:cs="Arial Narrow"/>
                    <w:sz w:val="24"/>
                    <w:szCs w:val="24"/>
                    <w:highlight w:val="white"/>
                  </w:rPr>
                  <w:t>La presente ley tiene por objeto establecer un marco de protección para las personas desplazadas por factores ambientales, reconocerlos como Sujetos de especial protección, y definir las obligaciones que le corresponden al Estado, adoptando medidas de protección y atención antes, durante y posterior al desplazamiento por factores ambientales, desde un enfoque integral de derechos</w:t>
                </w:r>
                <w:r>
                  <w:rPr>
                    <w:rFonts w:ascii="Arial Narrow" w:eastAsia="Arial Narrow" w:hAnsi="Arial Narrow" w:cs="Arial Narrow"/>
                    <w:b/>
                    <w:sz w:val="24"/>
                    <w:szCs w:val="24"/>
                    <w:highlight w:val="white"/>
                  </w:rPr>
                  <w:t xml:space="preserve">. </w:t>
                </w:r>
              </w:p>
            </w:tc>
            <w:tc>
              <w:tcPr>
                <w:tcW w:w="3120" w:type="dxa"/>
                <w:shd w:val="clear" w:color="auto" w:fill="auto"/>
                <w:tcMar>
                  <w:top w:w="100" w:type="dxa"/>
                  <w:left w:w="100" w:type="dxa"/>
                  <w:bottom w:w="100" w:type="dxa"/>
                  <w:right w:w="100" w:type="dxa"/>
                </w:tcMar>
              </w:tcPr>
              <w:p w:rsidR="00DD3391" w:rsidRDefault="00CA2042">
                <w:pPr>
                  <w:widowControl w:val="0"/>
                  <w:shd w:val="clear" w:color="auto" w:fill="FFFFFF"/>
                  <w:spacing w:after="20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Artículo 1. Objeto. </w:t>
                </w:r>
                <w:r>
                  <w:rPr>
                    <w:rFonts w:ascii="Arial Narrow" w:eastAsia="Arial Narrow" w:hAnsi="Arial Narrow" w:cs="Arial Narrow"/>
                    <w:sz w:val="24"/>
                    <w:szCs w:val="24"/>
                  </w:rPr>
                  <w:t xml:space="preserve">La presente ley tiene por objeto establecer un marco de protección para las personas desplazadas </w:t>
                </w:r>
                <w:r>
                  <w:rPr>
                    <w:rFonts w:ascii="Arial Narrow" w:eastAsia="Arial Narrow" w:hAnsi="Arial Narrow" w:cs="Arial Narrow"/>
                    <w:b/>
                    <w:sz w:val="24"/>
                    <w:szCs w:val="24"/>
                    <w:u w:val="single"/>
                  </w:rPr>
                  <w:t>o en riesgo de desplazamiento</w:t>
                </w:r>
                <w:r>
                  <w:rPr>
                    <w:rFonts w:ascii="Arial Narrow" w:eastAsia="Arial Narrow" w:hAnsi="Arial Narrow" w:cs="Arial Narrow"/>
                    <w:sz w:val="24"/>
                    <w:szCs w:val="24"/>
                  </w:rPr>
                  <w:t xml:space="preserve"> por factores ambientales, reconocerlos como Sujetos de especial protección, y definir las obligaciones que le corresponden al Estado, adoptando medidas de </w:t>
                </w:r>
                <w:r>
                  <w:rPr>
                    <w:rFonts w:ascii="Arial Narrow" w:eastAsia="Arial Narrow" w:hAnsi="Arial Narrow" w:cs="Arial Narrow"/>
                    <w:b/>
                    <w:sz w:val="24"/>
                    <w:szCs w:val="24"/>
                    <w:u w:val="single"/>
                  </w:rPr>
                  <w:t>prevención, adaptación,</w:t>
                </w:r>
                <w:r>
                  <w:rPr>
                    <w:rFonts w:ascii="Arial Narrow" w:eastAsia="Arial Narrow" w:hAnsi="Arial Narrow" w:cs="Arial Narrow"/>
                    <w:sz w:val="24"/>
                    <w:szCs w:val="24"/>
                  </w:rPr>
                  <w:t xml:space="preserve"> protección y atención antes, durante y posterior al desplazamiento por factores ambientales, desde un enfoque integral de derechos.</w:t>
                </w:r>
              </w:p>
            </w:tc>
            <w:tc>
              <w:tcPr>
                <w:tcW w:w="3120" w:type="dxa"/>
                <w:shd w:val="clear" w:color="auto" w:fill="auto"/>
                <w:tcMar>
                  <w:top w:w="100" w:type="dxa"/>
                  <w:left w:w="100" w:type="dxa"/>
                  <w:bottom w:w="100" w:type="dxa"/>
                  <w:right w:w="100" w:type="dxa"/>
                </w:tcMar>
              </w:tcPr>
              <w:p w:rsidR="00DD3391" w:rsidRDefault="00CA2042">
                <w:pPr>
                  <w:widowControl w:val="0"/>
                  <w:pBdr>
                    <w:top w:val="nil"/>
                    <w:left w:val="nil"/>
                    <w:bottom w:val="nil"/>
                    <w:right w:val="nil"/>
                    <w:between w:val="nil"/>
                  </w:pBd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modificaciones propuestas buscan que la ley responda de manera más completa y eficaz a las complejidades del desplazamiento ambiental, enfatizando la necesidad de un enfoque integral de derechos humanos que cubra todas las fases del desplazamiento, fomente la prevención y protección, y garantice que las personas desplazadas tengan acceso pleno a sus derechos en todas las circunstancias. </w:t>
                </w:r>
              </w:p>
            </w:tc>
          </w:tr>
          <w:tr w:rsidR="00DD3391">
            <w:tc>
              <w:tcPr>
                <w:tcW w:w="3120" w:type="dxa"/>
                <w:shd w:val="clear" w:color="auto" w:fill="auto"/>
                <w:tcMar>
                  <w:top w:w="100" w:type="dxa"/>
                  <w:left w:w="100" w:type="dxa"/>
                  <w:bottom w:w="100" w:type="dxa"/>
                  <w:right w:w="100" w:type="dxa"/>
                </w:tcMar>
              </w:tcPr>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2. Principios. </w:t>
                </w:r>
                <w:r>
                  <w:rPr>
                    <w:rFonts w:ascii="Arial Narrow" w:eastAsia="Arial Narrow" w:hAnsi="Arial Narrow" w:cs="Arial Narrow"/>
                    <w:sz w:val="24"/>
                    <w:szCs w:val="24"/>
                  </w:rPr>
                  <w:t>La presente ley se orienta por los siguientes principios y enfoques:</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Bloque de constitucionalidad. </w:t>
                </w:r>
                <w:r>
                  <w:rPr>
                    <w:rFonts w:ascii="Arial Narrow" w:eastAsia="Arial Narrow" w:hAnsi="Arial Narrow" w:cs="Arial Narrow"/>
                    <w:sz w:val="24"/>
                    <w:szCs w:val="24"/>
                  </w:rPr>
                  <w:t xml:space="preserve">El Marco de protección para las personas desplazadas por factores ambientales incluye los Principios internacionales relacionados con personas desplazadas, así como los contenidos en tratados y convenciones internacionales relacionadas con el cambio climático, la gestión y reducción del riesgo de desastres, el acceso a la información y la participación pública en Asuntos ambientales, reconocidos en el bloque de </w:t>
                </w:r>
                <w:r>
                  <w:rPr>
                    <w:rFonts w:ascii="Arial Narrow" w:eastAsia="Arial Narrow" w:hAnsi="Arial Narrow" w:cs="Arial Narrow"/>
                    <w:sz w:val="24"/>
                    <w:szCs w:val="24"/>
                  </w:rPr>
                  <w:lastRenderedPageBreak/>
                  <w:t>Constitucionalidad en Colombia.</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Enfoque de derechos. </w:t>
                </w:r>
                <w:r>
                  <w:rPr>
                    <w:rFonts w:ascii="Arial Narrow" w:eastAsia="Arial Narrow" w:hAnsi="Arial Narrow" w:cs="Arial Narrow"/>
                    <w:sz w:val="24"/>
                    <w:szCs w:val="24"/>
                  </w:rPr>
                  <w:t>El Enfoque Basado en Derechos Humanos (EBDH) o enfoque de derechos, es un marco conceptual que busca contribuir al proceso de desarrollo humano y orientar las acciones necesarias para dar cumplimiento a los derechos de las personas. El enfoque basado en los derechos humanos se centra en los grupos de población que son objeto de una mayor marginación, exclusión y discriminación.</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Acceso a la información y Participación. </w:t>
                </w:r>
                <w:r>
                  <w:rPr>
                    <w:rFonts w:ascii="Arial Narrow" w:eastAsia="Arial Narrow" w:hAnsi="Arial Narrow" w:cs="Arial Narrow"/>
                    <w:sz w:val="24"/>
                    <w:szCs w:val="24"/>
                  </w:rPr>
                  <w:t>Toda persona deberá tener acceso adecuado a la información sobre el medio ambiente de que dispongan las autoridades públicas, incluida la información sobre los materiales y las actividades que encierran peligro en sus comunidades, así como la oportunidad de participar en los procesos de adopción de decisiones. Los Estados deberán facilitar y fomentar la sensibilización y la participación de la población poniendo la información a disposición de todos.</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Transparencia y oportunidad de la Información. </w:t>
                </w:r>
                <w:r>
                  <w:rPr>
                    <w:rFonts w:ascii="Arial Narrow" w:eastAsia="Arial Narrow" w:hAnsi="Arial Narrow" w:cs="Arial Narrow"/>
                    <w:sz w:val="24"/>
                    <w:szCs w:val="24"/>
                  </w:rPr>
                  <w:t xml:space="preserve">La población desplazada por factores ambientales, recibirá información transparente, clara, veraz y oportuna sobre sus derechos, deberes y obligaciones, así como sobre las medidas de atención y </w:t>
                </w:r>
                <w:r>
                  <w:rPr>
                    <w:rFonts w:ascii="Arial Narrow" w:eastAsia="Arial Narrow" w:hAnsi="Arial Narrow" w:cs="Arial Narrow"/>
                    <w:sz w:val="24"/>
                    <w:szCs w:val="24"/>
                  </w:rPr>
                  <w:lastRenderedPageBreak/>
                  <w:t xml:space="preserve">protección promovidas por el Estado. </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Progresividad.</w:t>
                </w:r>
                <w:r>
                  <w:rPr>
                    <w:rFonts w:ascii="Arial Narrow" w:eastAsia="Arial Narrow" w:hAnsi="Arial Narrow" w:cs="Arial Narrow"/>
                    <w:sz w:val="24"/>
                    <w:szCs w:val="24"/>
                  </w:rPr>
                  <w:t xml:space="preserve"> El principio de progresividad supone el compromiso de iniciar procesos que conlleven al goce efectivo de los Derechos Humanos, obligación que se suma al reconocimiento de unos contenidos mínimos o esenciales de satisfacción de esos derechos que el Estado debe garantizar a todas las personas, e ir acrecentándolos paulatinamente</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Igualdad y no discriminación. </w:t>
                </w:r>
                <w:r>
                  <w:rPr>
                    <w:rFonts w:ascii="Arial Narrow" w:eastAsia="Arial Narrow" w:hAnsi="Arial Narrow" w:cs="Arial Narrow"/>
                    <w:sz w:val="24"/>
                    <w:szCs w:val="24"/>
                  </w:rPr>
                  <w:t>Las medidas contempladas en la presente ley serán reconocidas sin distinción de género, respetando la libertad u orientación sexual, raza, condición social, la profesión, el origen nacional o familiar, la lengua, el credo religioso, la opinión política o filosófica.</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Mitigación y compensación de impactos. </w:t>
                </w:r>
                <w:r>
                  <w:rPr>
                    <w:rFonts w:ascii="Arial Narrow" w:eastAsia="Arial Narrow" w:hAnsi="Arial Narrow" w:cs="Arial Narrow"/>
                    <w:sz w:val="24"/>
                    <w:szCs w:val="24"/>
                  </w:rPr>
                  <w:t>El Estado tiene la obligación de mitigar y compensar los impactos a los pobladores originados por el desplazamiento involuntario o voluntario, cuando éste sea inevitable.</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Gradualidad. </w:t>
                </w:r>
                <w:r>
                  <w:rPr>
                    <w:rFonts w:ascii="Arial Narrow" w:eastAsia="Arial Narrow" w:hAnsi="Arial Narrow" w:cs="Arial Narrow"/>
                    <w:sz w:val="24"/>
                    <w:szCs w:val="24"/>
                  </w:rPr>
                  <w:t xml:space="preserve">El principio de gradualidad implica la responsabilidad Estatal de diseñar herramientas operativas de alcance definido en tiempo, espacio y recursos presupuestales que permitan la </w:t>
                </w:r>
                <w:r>
                  <w:rPr>
                    <w:rFonts w:ascii="Arial Narrow" w:eastAsia="Arial Narrow" w:hAnsi="Arial Narrow" w:cs="Arial Narrow"/>
                    <w:sz w:val="24"/>
                    <w:szCs w:val="24"/>
                  </w:rPr>
                  <w:lastRenderedPageBreak/>
                  <w:t>escalonada implementación de las disposiciones contenidas en la presente ley.</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Enfoque diferencial.</w:t>
                </w:r>
                <w:r>
                  <w:rPr>
                    <w:rFonts w:ascii="Arial Narrow" w:eastAsia="Arial Narrow" w:hAnsi="Arial Narrow" w:cs="Arial Narrow"/>
                    <w:sz w:val="24"/>
                    <w:szCs w:val="24"/>
                  </w:rPr>
                  <w:t xml:space="preserve"> El principio de enfoque diferencial reconoce que hay poblaciones con características particulares en razón de su edad, etnia, género, orientación sexual y situación de discapacidad</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Colaboración armónica. </w:t>
                </w:r>
                <w:r>
                  <w:rPr>
                    <w:rFonts w:ascii="Arial Narrow" w:eastAsia="Arial Narrow" w:hAnsi="Arial Narrow" w:cs="Arial Narrow"/>
                    <w:sz w:val="24"/>
                    <w:szCs w:val="24"/>
                  </w:rPr>
                  <w:t>Las entidades del Estado deberán trabajar de manera armónica y articulada para el cumplimiento de los fines previstos en la presente ley, sin perjuicio de su autonomía</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Acceso a la justicia. </w:t>
                </w:r>
                <w:r>
                  <w:rPr>
                    <w:rFonts w:ascii="Arial Narrow" w:eastAsia="Arial Narrow" w:hAnsi="Arial Narrow" w:cs="Arial Narrow"/>
                    <w:sz w:val="24"/>
                    <w:szCs w:val="24"/>
                  </w:rPr>
                  <w:t xml:space="preserve">Debe proporcionarse acceso efectivo a los procedimientos judiciales y administrativos, entre éstos el resarcimiento de daños y los recursos pertinentes. </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Principio de prevención. </w:t>
                </w:r>
                <w:r>
                  <w:rPr>
                    <w:rFonts w:ascii="Arial Narrow" w:eastAsia="Arial Narrow" w:hAnsi="Arial Narrow" w:cs="Arial Narrow"/>
                    <w:sz w:val="24"/>
                    <w:szCs w:val="24"/>
                  </w:rPr>
                  <w:t>Conocimiento anticipado del riesgo de daño ambiental y adopción de medidas para neutralizarlo.</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Principio de Precaución. </w:t>
                </w:r>
                <w:r>
                  <w:rPr>
                    <w:rFonts w:ascii="Arial Narrow" w:eastAsia="Arial Narrow" w:hAnsi="Arial Narrow" w:cs="Arial Narrow"/>
                    <w:sz w:val="24"/>
                    <w:szCs w:val="24"/>
                  </w:rPr>
                  <w:t xml:space="preserve">Con el fin de proteger el medio ambiente, los Estados deberán aplicar ampliamente el criterio de precaución conforme a sus capacidades. Cuando haya peligro de daño grave e irreversible, la falta de certeza científica absoluta no deberá utilizarse como razón para </w:t>
                </w:r>
                <w:r>
                  <w:rPr>
                    <w:rFonts w:ascii="Arial Narrow" w:eastAsia="Arial Narrow" w:hAnsi="Arial Narrow" w:cs="Arial Narrow"/>
                    <w:sz w:val="24"/>
                    <w:szCs w:val="24"/>
                  </w:rPr>
                  <w:lastRenderedPageBreak/>
                  <w:t>postergar la adopción de medidas eficaces en función de los costos para impedir la degradación del medio ambiente.</w:t>
                </w:r>
              </w:p>
            </w:tc>
            <w:tc>
              <w:tcPr>
                <w:tcW w:w="3120" w:type="dxa"/>
                <w:shd w:val="clear" w:color="auto" w:fill="auto"/>
                <w:tcMar>
                  <w:top w:w="100" w:type="dxa"/>
                  <w:left w:w="100" w:type="dxa"/>
                  <w:bottom w:w="100" w:type="dxa"/>
                  <w:right w:w="100" w:type="dxa"/>
                </w:tcMar>
              </w:tcPr>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 xml:space="preserve">Artículo 2. Principios. </w:t>
                </w:r>
                <w:r>
                  <w:rPr>
                    <w:rFonts w:ascii="Arial Narrow" w:eastAsia="Arial Narrow" w:hAnsi="Arial Narrow" w:cs="Arial Narrow"/>
                    <w:sz w:val="24"/>
                    <w:szCs w:val="24"/>
                  </w:rPr>
                  <w:t xml:space="preserve">La presente ley se orienta por los siguientes principios y enfoques: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Bloque de constitucionalidad</w:t>
                </w:r>
                <w:r>
                  <w:rPr>
                    <w:rFonts w:ascii="Arial Narrow" w:eastAsia="Arial Narrow" w:hAnsi="Arial Narrow" w:cs="Arial Narrow"/>
                    <w:sz w:val="24"/>
                    <w:szCs w:val="24"/>
                  </w:rPr>
                  <w:t xml:space="preserve">. El Marco de protección para las personas desplazadas por factores ambientales incluye los Principios internacionales relacionados con personas desplazadas, así como los contenidos en tratados y convenciones internacionales relacionadas con el cambio climático, la gestión y reducción del riesgo de desastres, el acceso a la información y la participación pública en Asuntos ambientales, reconocidos en el bloque de </w:t>
                </w:r>
                <w:r>
                  <w:rPr>
                    <w:rFonts w:ascii="Arial Narrow" w:eastAsia="Arial Narrow" w:hAnsi="Arial Narrow" w:cs="Arial Narrow"/>
                    <w:sz w:val="24"/>
                    <w:szCs w:val="24"/>
                  </w:rPr>
                  <w:lastRenderedPageBreak/>
                  <w:t xml:space="preserve">Constitucionalidad en Colombia.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Enfoque de derechos. </w:t>
                </w:r>
                <w:r>
                  <w:rPr>
                    <w:rFonts w:ascii="Arial Narrow" w:eastAsia="Arial Narrow" w:hAnsi="Arial Narrow" w:cs="Arial Narrow"/>
                    <w:sz w:val="24"/>
                    <w:szCs w:val="24"/>
                  </w:rPr>
                  <w:t>El Enfoque Basado en Derechos Humanos (EBDH) o enfoque de derechos, es un marco conceptual que busca contribuir al proceso de desarrollo humano y orientar las acciones necesarias para dar cumplimiento a los derechos de las personas. El enfoque basado en los derechos humanos se centra en los grupos de población que son objeto de una mayor marginación, exclusión y discriminación</w:t>
                </w:r>
                <w:r>
                  <w:rPr>
                    <w:rFonts w:ascii="Arial Narrow" w:eastAsia="Arial Narrow" w:hAnsi="Arial Narrow" w:cs="Arial Narrow"/>
                    <w:b/>
                    <w:sz w:val="24"/>
                    <w:szCs w:val="24"/>
                  </w:rPr>
                  <w:t>.</w:t>
                </w:r>
                <w:r>
                  <w:rPr>
                    <w:rFonts w:ascii="Arial Narrow" w:eastAsia="Arial Narrow" w:hAnsi="Arial Narrow" w:cs="Arial Narrow"/>
                    <w:sz w:val="24"/>
                    <w:szCs w:val="24"/>
                  </w:rPr>
                  <w:t xml:space="preserve">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Acceso a la información y Participación</w:t>
                </w:r>
                <w:r>
                  <w:rPr>
                    <w:rFonts w:ascii="Arial Narrow" w:eastAsia="Arial Narrow" w:hAnsi="Arial Narrow" w:cs="Arial Narrow"/>
                    <w:sz w:val="24"/>
                    <w:szCs w:val="24"/>
                  </w:rPr>
                  <w:t xml:space="preserve">. Toda persona deberá tener acceso adecuado a la información sobre el medio ambiente de que dispongan las autoridades públicas, incluida la información sobre los materiales y las actividades que encierran peligro en sus comunidades, así como la oportunidad de participar en los procesos de adopción de decisiones. Los Estados deberán facilitar y fomentar la sensibilización y la participación de la población poniendo la información a disposición de todos.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Transparencia y oportunidad de la Información</w:t>
                </w:r>
                <w:r>
                  <w:rPr>
                    <w:rFonts w:ascii="Arial Narrow" w:eastAsia="Arial Narrow" w:hAnsi="Arial Narrow" w:cs="Arial Narrow"/>
                    <w:sz w:val="24"/>
                    <w:szCs w:val="24"/>
                  </w:rPr>
                  <w:t xml:space="preserve">. La población desplazada por factores </w:t>
                </w:r>
                <w:r>
                  <w:rPr>
                    <w:rFonts w:ascii="Arial Narrow" w:eastAsia="Arial Narrow" w:hAnsi="Arial Narrow" w:cs="Arial Narrow"/>
                    <w:sz w:val="24"/>
                    <w:szCs w:val="24"/>
                  </w:rPr>
                  <w:lastRenderedPageBreak/>
                  <w:t xml:space="preserve">ambientales, recibirá información transparente, clara, veraz y oportuna sobre sus derechos, deberes y obligaciones, así como sobre las medidas de atención y protección promovidas por el Estado.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Progresividad</w:t>
                </w:r>
                <w:r>
                  <w:rPr>
                    <w:rFonts w:ascii="Arial Narrow" w:eastAsia="Arial Narrow" w:hAnsi="Arial Narrow" w:cs="Arial Narrow"/>
                    <w:sz w:val="24"/>
                    <w:szCs w:val="24"/>
                  </w:rPr>
                  <w:t xml:space="preserve">. El principio de progresividad supone el compromiso de iniciar procesos que conlleven al goce efectivo de los Derechos Humanos, obligación que se suma al reconocimiento de unos contenidos mínimos o esenciales de satisfacción de esos derechos que el Estado debe garantizar a todas las personas, e ir acrecentándolos paulatinamente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Igualdad y no discriminación</w:t>
                </w:r>
                <w:r>
                  <w:rPr>
                    <w:rFonts w:ascii="Arial Narrow" w:eastAsia="Arial Narrow" w:hAnsi="Arial Narrow" w:cs="Arial Narrow"/>
                    <w:sz w:val="24"/>
                    <w:szCs w:val="24"/>
                  </w:rPr>
                  <w:t xml:space="preserve">. Las medidas contempladas en la presente ley serán reconocidas sin distinción de género, respetando la libertad u orientación sexual, raza, condición social, la profesión, el origen nacional o familiar, la lengua, el credo religioso, la opinión política o filosófica.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Mitigación y compensación de impactos</w:t>
                </w:r>
                <w:r>
                  <w:rPr>
                    <w:rFonts w:ascii="Arial Narrow" w:eastAsia="Arial Narrow" w:hAnsi="Arial Narrow" w:cs="Arial Narrow"/>
                    <w:sz w:val="24"/>
                    <w:szCs w:val="24"/>
                  </w:rPr>
                  <w:t xml:space="preserve">. El Estado tiene la obligación de mitigar y compensar los impactos a los pobladores originados por el desplazamiento involuntario o </w:t>
                </w:r>
                <w:r>
                  <w:rPr>
                    <w:rFonts w:ascii="Arial Narrow" w:eastAsia="Arial Narrow" w:hAnsi="Arial Narrow" w:cs="Arial Narrow"/>
                    <w:sz w:val="24"/>
                    <w:szCs w:val="24"/>
                  </w:rPr>
                  <w:lastRenderedPageBreak/>
                  <w:t xml:space="preserve">voluntario, cuando éste sea inevitable.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Gradualidad</w:t>
                </w:r>
                <w:r>
                  <w:rPr>
                    <w:rFonts w:ascii="Arial Narrow" w:eastAsia="Arial Narrow" w:hAnsi="Arial Narrow" w:cs="Arial Narrow"/>
                    <w:sz w:val="24"/>
                    <w:szCs w:val="24"/>
                  </w:rPr>
                  <w:t xml:space="preserve">. El principio de gradualidad implica la responsabilidad Estatal de diseñar herramientas operativas de alcance definido en tiempo, espacio y recursos presupuestales que permitan la escalonada implementación de las disposiciones contenidas en la presente ley.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Enfoque diferencial. </w:t>
                </w:r>
                <w:r>
                  <w:rPr>
                    <w:rFonts w:ascii="Arial Narrow" w:eastAsia="Arial Narrow" w:hAnsi="Arial Narrow" w:cs="Arial Narrow"/>
                    <w:sz w:val="24"/>
                    <w:szCs w:val="24"/>
                  </w:rPr>
                  <w:t xml:space="preserve">El principio de enfoque diferencial reconoce que hay poblaciones con características particulares en razón de su edad, </w:t>
                </w:r>
                <w:r>
                  <w:rPr>
                    <w:rFonts w:ascii="Arial Narrow" w:eastAsia="Arial Narrow" w:hAnsi="Arial Narrow" w:cs="Arial Narrow"/>
                    <w:b/>
                    <w:sz w:val="24"/>
                    <w:szCs w:val="24"/>
                    <w:u w:val="single"/>
                  </w:rPr>
                  <w:t>sexo,</w:t>
                </w:r>
                <w:r>
                  <w:rPr>
                    <w:rFonts w:ascii="Arial Narrow" w:eastAsia="Arial Narrow" w:hAnsi="Arial Narrow" w:cs="Arial Narrow"/>
                    <w:sz w:val="24"/>
                    <w:szCs w:val="24"/>
                  </w:rPr>
                  <w:t>etnia, género, orientación sexual,</w:t>
                </w:r>
                <w:r>
                  <w:rPr>
                    <w:rFonts w:ascii="Arial Narrow" w:eastAsia="Arial Narrow" w:hAnsi="Arial Narrow" w:cs="Arial Narrow"/>
                    <w:b/>
                    <w:sz w:val="24"/>
                    <w:szCs w:val="24"/>
                    <w:u w:val="single"/>
                  </w:rPr>
                  <w:t xml:space="preserve"> identidad de género diversa,</w:t>
                </w:r>
                <w:r>
                  <w:rPr>
                    <w:rFonts w:ascii="Arial Narrow" w:eastAsia="Arial Narrow" w:hAnsi="Arial Narrow" w:cs="Arial Narrow"/>
                    <w:strike/>
                    <w:sz w:val="24"/>
                    <w:szCs w:val="24"/>
                  </w:rPr>
                  <w:t xml:space="preserve"> y </w:t>
                </w:r>
                <w:r>
                  <w:rPr>
                    <w:rFonts w:ascii="Arial Narrow" w:eastAsia="Arial Narrow" w:hAnsi="Arial Narrow" w:cs="Arial Narrow"/>
                    <w:sz w:val="24"/>
                    <w:szCs w:val="24"/>
                  </w:rPr>
                  <w:t>situación de discapacidad</w:t>
                </w:r>
                <w:r>
                  <w:rPr>
                    <w:rFonts w:ascii="Arial Narrow" w:eastAsia="Arial Narrow" w:hAnsi="Arial Narrow" w:cs="Arial Narrow"/>
                    <w:b/>
                    <w:sz w:val="24"/>
                    <w:szCs w:val="24"/>
                    <w:u w:val="single"/>
                  </w:rPr>
                  <w:t>, diversidad cultural y territorial, asi como las experiencias de desplazamiento previas.</w:t>
                </w:r>
                <w:r>
                  <w:rPr>
                    <w:rFonts w:ascii="Arial Narrow" w:eastAsia="Arial Narrow" w:hAnsi="Arial Narrow" w:cs="Arial Narrow"/>
                    <w:sz w:val="24"/>
                    <w:szCs w:val="24"/>
                  </w:rPr>
                  <w:t xml:space="preserve"> </w:t>
                </w:r>
              </w:p>
              <w:p w:rsidR="00DD3391" w:rsidRDefault="00CA2042">
                <w:pPr>
                  <w:widowControl w:val="0"/>
                  <w:shd w:val="clear" w:color="auto" w:fill="FFFFFF"/>
                  <w:spacing w:after="200"/>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 xml:space="preserve">El Estado deberá adoptar medidas de protección especial y diferenciada para grupos particularmente vulnerables, como mujeres, niños, personas con discapacidad, pueblos indígenas, afrodescendientes y personas mayores, quienes enfrentan mayores riesgos durante el desplazamiento, garantizando que sus derechos </w:t>
                </w:r>
                <w:r>
                  <w:rPr>
                    <w:rFonts w:ascii="Arial Narrow" w:eastAsia="Arial Narrow" w:hAnsi="Arial Narrow" w:cs="Arial Narrow"/>
                    <w:b/>
                    <w:sz w:val="24"/>
                    <w:szCs w:val="24"/>
                    <w:u w:val="single"/>
                  </w:rPr>
                  <w:lastRenderedPageBreak/>
                  <w:t>sean plenamente respetados y que se les brinde la atención adecuada en todos los procesos relacionados con el desplazamiento.</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Colaboración armónica</w:t>
                </w:r>
                <w:r>
                  <w:rPr>
                    <w:rFonts w:ascii="Arial Narrow" w:eastAsia="Arial Narrow" w:hAnsi="Arial Narrow" w:cs="Arial Narrow"/>
                    <w:sz w:val="24"/>
                    <w:szCs w:val="24"/>
                  </w:rPr>
                  <w:t xml:space="preserve">. Las entidades del Estado deberán trabajar de manera armónica y articulada para el cumplimiento de los fines previstos en la presente ley, sin perjuicio de su autonomía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Acceso a la justicia</w:t>
                </w:r>
                <w:r>
                  <w:rPr>
                    <w:rFonts w:ascii="Arial Narrow" w:eastAsia="Arial Narrow" w:hAnsi="Arial Narrow" w:cs="Arial Narrow"/>
                    <w:sz w:val="24"/>
                    <w:szCs w:val="24"/>
                  </w:rPr>
                  <w:t xml:space="preserve">. Debe proporcionarse acceso efectivo a los procedimientos judiciales y administrativos, entre éstos el resarcimiento de daños y los recursos pertinentes.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Principio de prevención</w:t>
                </w:r>
                <w:r>
                  <w:rPr>
                    <w:rFonts w:ascii="Arial Narrow" w:eastAsia="Arial Narrow" w:hAnsi="Arial Narrow" w:cs="Arial Narrow"/>
                    <w:sz w:val="24"/>
                    <w:szCs w:val="24"/>
                  </w:rPr>
                  <w:t xml:space="preserve">. Conocimiento anticipado del riesgo de daño ambiental y adopción de medidas para neutralizarlo.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Principio de Precaución</w:t>
                </w:r>
                <w:r>
                  <w:rPr>
                    <w:rFonts w:ascii="Arial Narrow" w:eastAsia="Arial Narrow" w:hAnsi="Arial Narrow" w:cs="Arial Narrow"/>
                    <w:sz w:val="24"/>
                    <w:szCs w:val="24"/>
                  </w:rPr>
                  <w:t xml:space="preserve">. Con el fin de proteger el medio ambiente, los Estados deberán aplicar ampliamente el criterio de precaución conforme a sus capacidades. Cuando haya peligro de daño grave e irreversible, la falta de certeza científica absoluta no deberá utilizarse como razón para postergar la adopción de medidas eficaces en función de los costos </w:t>
                </w:r>
                <w:r>
                  <w:rPr>
                    <w:rFonts w:ascii="Arial Narrow" w:eastAsia="Arial Narrow" w:hAnsi="Arial Narrow" w:cs="Arial Narrow"/>
                    <w:sz w:val="24"/>
                    <w:szCs w:val="24"/>
                  </w:rPr>
                  <w:lastRenderedPageBreak/>
                  <w:t xml:space="preserve">para impedir la degradación del medio ambiente. </w:t>
                </w:r>
              </w:p>
              <w:p w:rsidR="00DD3391" w:rsidRDefault="00CA2042">
                <w:pPr>
                  <w:widowControl w:val="0"/>
                  <w:shd w:val="clear" w:color="auto" w:fill="FFFFFF"/>
                  <w:spacing w:after="200"/>
                  <w:jc w:val="both"/>
                  <w:rPr>
                    <w:rFonts w:ascii="Arial Narrow" w:eastAsia="Arial Narrow" w:hAnsi="Arial Narrow" w:cs="Arial Narrow"/>
                    <w:b/>
                    <w:sz w:val="24"/>
                    <w:szCs w:val="24"/>
                    <w:u w:val="single"/>
                  </w:rPr>
                </w:pPr>
                <w:r>
                  <w:rPr>
                    <w:rFonts w:ascii="Arial Narrow" w:eastAsia="Arial Narrow" w:hAnsi="Arial Narrow" w:cs="Arial Narrow"/>
                    <w:b/>
                    <w:sz w:val="24"/>
                    <w:szCs w:val="24"/>
                  </w:rPr>
                  <w:t>J</w:t>
                </w:r>
                <w:r>
                  <w:rPr>
                    <w:rFonts w:ascii="Arial Narrow" w:eastAsia="Arial Narrow" w:hAnsi="Arial Narrow" w:cs="Arial Narrow"/>
                    <w:b/>
                    <w:sz w:val="24"/>
                    <w:szCs w:val="24"/>
                    <w:u w:val="single"/>
                  </w:rPr>
                  <w:t>usticia climática. Principio que relaciona el cambio climático con los derechos humanos y la equidad social, reconociendo que las poblaciones más vulnerables son las que sufren en mayor medida las consecuencias del cambio climático, a pesar de ser las que menos contribuyen a su origen. Promueve la participación activa e igualitaria de las comunidades en la toma de decisiones ambientales, así como la distribución equitativa de las responsabilidades y las acciones de mitigación y adaptación.</w:t>
                </w:r>
              </w:p>
              <w:p w:rsidR="00DD3391" w:rsidRDefault="00DD3391">
                <w:pPr>
                  <w:widowControl w:val="0"/>
                  <w:pBdr>
                    <w:top w:val="nil"/>
                    <w:left w:val="nil"/>
                    <w:bottom w:val="nil"/>
                    <w:right w:val="nil"/>
                    <w:between w:val="nil"/>
                  </w:pBdr>
                  <w:spacing w:line="240" w:lineRule="auto"/>
                  <w:rPr>
                    <w:rFonts w:ascii="Arial Narrow" w:eastAsia="Arial Narrow" w:hAnsi="Arial Narrow" w:cs="Arial Narrow"/>
                    <w:b/>
                    <w:sz w:val="24"/>
                    <w:szCs w:val="24"/>
                  </w:rPr>
                </w:pPr>
              </w:p>
            </w:tc>
            <w:tc>
              <w:tcPr>
                <w:tcW w:w="3120" w:type="dxa"/>
                <w:shd w:val="clear" w:color="auto" w:fill="auto"/>
                <w:tcMar>
                  <w:top w:w="100" w:type="dxa"/>
                  <w:left w:w="100" w:type="dxa"/>
                  <w:bottom w:w="100" w:type="dxa"/>
                  <w:right w:w="100" w:type="dxa"/>
                </w:tcMar>
              </w:tcPr>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La modificación propuesta al artículo sobre el enfoque diferencial responde a la necesidad de reconocer y abordar las múltiples formas de vulnerabilidad que existen entre las personas desplazadas por factores ambientales, con base en sus características personales y sociales, así como en sus experiencias previas, teniendo en cuenta factores como el </w:t>
                </w:r>
                <w:r>
                  <w:rPr>
                    <w:rFonts w:ascii="Arial Narrow" w:eastAsia="Arial Narrow" w:hAnsi="Arial Narrow" w:cs="Arial Narrow"/>
                    <w:b/>
                    <w:sz w:val="24"/>
                    <w:szCs w:val="24"/>
                  </w:rPr>
                  <w:t>r</w:t>
                </w:r>
                <w:r>
                  <w:rPr>
                    <w:rFonts w:ascii="Arial Narrow" w:eastAsia="Arial Narrow" w:hAnsi="Arial Narrow" w:cs="Arial Narrow"/>
                    <w:sz w:val="24"/>
                    <w:szCs w:val="24"/>
                  </w:rPr>
                  <w:t xml:space="preserve">econocimiento de la diversidad de la población desplazada, atención a los impactos desiguales del desplazamiento, protección especial para los grupos vulnerables, garantía de derechos y atención adecuada, enfoque preventivo y proactivo, </w:t>
                </w:r>
                <w:r>
                  <w:rPr>
                    <w:rFonts w:ascii="Arial Narrow" w:eastAsia="Arial Narrow" w:hAnsi="Arial Narrow" w:cs="Arial Narrow"/>
                    <w:sz w:val="24"/>
                    <w:szCs w:val="24"/>
                  </w:rPr>
                  <w:lastRenderedPageBreak/>
                  <w:t>diversidad territorial. Es así como se generaría la</w:t>
                </w:r>
                <w:r>
                  <w:rPr>
                    <w:rFonts w:ascii="Arial Narrow" w:eastAsia="Arial Narrow" w:hAnsi="Arial Narrow" w:cs="Arial Narrow"/>
                    <w:b/>
                    <w:sz w:val="24"/>
                    <w:szCs w:val="24"/>
                  </w:rPr>
                  <w:t xml:space="preserve"> </w:t>
                </w:r>
                <w:r>
                  <w:rPr>
                    <w:rFonts w:ascii="Arial Narrow" w:eastAsia="Arial Narrow" w:hAnsi="Arial Narrow" w:cs="Arial Narrow"/>
                    <w:sz w:val="24"/>
                    <w:szCs w:val="24"/>
                  </w:rPr>
                  <w:t>necesidad de un marco de protección más inclusivo y personalizado, que garantice el respeto de los Derechos Humanos de los grupos vulnerables, reconociendo las diferentes formas de discriminación y exclusión que enfrentan las personas desplazadas por factores ambientales.</w:t>
                </w:r>
              </w:p>
              <w:p w:rsidR="00DD3391" w:rsidRDefault="00CA2042">
                <w:pPr>
                  <w:widowControl w:val="0"/>
                  <w:pBdr>
                    <w:top w:val="nil"/>
                    <w:left w:val="nil"/>
                    <w:bottom w:val="nil"/>
                    <w:right w:val="nil"/>
                    <w:between w:val="nil"/>
                  </w:pBd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Asimismo, de conformidad con el espíritu del proyecto, en lo que respecta a las consecuencias del cambio climático, se agrega el concepto de justicia climática, que enfatiza la conjunción  de los derechos humanos con la equidad social.</w:t>
                </w:r>
              </w:p>
            </w:tc>
          </w:tr>
          <w:tr w:rsidR="00DD3391">
            <w:tc>
              <w:tcPr>
                <w:tcW w:w="3120" w:type="dxa"/>
                <w:shd w:val="clear" w:color="auto" w:fill="auto"/>
                <w:tcMar>
                  <w:top w:w="100" w:type="dxa"/>
                  <w:left w:w="100" w:type="dxa"/>
                  <w:bottom w:w="100" w:type="dxa"/>
                  <w:right w:w="100" w:type="dxa"/>
                </w:tcMar>
              </w:tcPr>
              <w:p w:rsidR="00DD3391" w:rsidRDefault="00CA2042">
                <w:pPr>
                  <w:widowControl w:val="0"/>
                  <w:spacing w:before="240" w:after="24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lastRenderedPageBreak/>
                  <w:t>Artículo 3. Definiciones.</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Desplazados internos. </w:t>
                </w:r>
                <w:r>
                  <w:rPr>
                    <w:rFonts w:ascii="Arial Narrow" w:eastAsia="Arial Narrow" w:hAnsi="Arial Narrow" w:cs="Arial Narrow"/>
                    <w:sz w:val="24"/>
                    <w:szCs w:val="24"/>
                  </w:rPr>
                  <w:t xml:space="preserve">Los desplazados internos son personas o grupos de personas que se han visto forzadas u obligadas a escapar o huir de su hogar o de su lugar de residencia habitual, en particular como resultado o para evitar los efectos de un conflicto armado, de situaciones de violencia generalizada, de violaciones de los derechos humanos o de catástrofes naturales o </w:t>
                </w:r>
                <w:r>
                  <w:rPr>
                    <w:rFonts w:ascii="Arial Narrow" w:eastAsia="Arial Narrow" w:hAnsi="Arial Narrow" w:cs="Arial Narrow"/>
                    <w:sz w:val="24"/>
                    <w:szCs w:val="24"/>
                  </w:rPr>
                  <w:lastRenderedPageBreak/>
                  <w:t>provocadas por el ser humano, y que no han cruzado una frontera estatal internacionalmente reconocida.</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Desplazados por factores ambientales.</w:t>
                </w:r>
                <w:r>
                  <w:rPr>
                    <w:rFonts w:ascii="Arial Narrow" w:eastAsia="Arial Narrow" w:hAnsi="Arial Narrow" w:cs="Arial Narrow"/>
                    <w:sz w:val="24"/>
                    <w:szCs w:val="24"/>
                  </w:rPr>
                  <w:t xml:space="preserve"> Los desplazados por factores ambientales son aquellas personas y comunidades que se han visto obligadas a abandonar su hogar o residencia habitual debido a desastres, las consecuencias del cambio climático y la degradación ambiental, amenazando y afectando de manera compleja el ejercicio de los derechos de las personas.</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Riesgo de desastres. </w:t>
                </w:r>
                <w:r>
                  <w:rPr>
                    <w:rFonts w:ascii="Arial Narrow" w:eastAsia="Arial Narrow" w:hAnsi="Arial Narrow" w:cs="Arial Narrow"/>
                    <w:sz w:val="24"/>
                    <w:szCs w:val="24"/>
                  </w:rPr>
                  <w:t>Corresponde a los daños o pérdidas potenciales que pueden presentarse debido a los eventos físicos peligrosos de origen natural, socio natural, tecnológico, biosanitario o humano no intencional, en un período de tiempo específico, y que son determinados por la vulnerabilidad de los elementos expuestos; por consiguiente, el riesgo de desastres se deriva de la combinación de la amenaza, exposición a la amenaza y vulnerabilidad global.</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Desastres. </w:t>
                </w:r>
                <w:r>
                  <w:rPr>
                    <w:rFonts w:ascii="Arial Narrow" w:eastAsia="Arial Narrow" w:hAnsi="Arial Narrow" w:cs="Arial Narrow"/>
                    <w:sz w:val="24"/>
                    <w:szCs w:val="24"/>
                  </w:rPr>
                  <w:t xml:space="preserve">Un desastre puede entenderse como la manifestación de un riesgo que potencialmente afecta la vida humana, el medio ambiente, las infraestructuras sociales y los sistemas productivos y </w:t>
                </w:r>
                <w:r>
                  <w:rPr>
                    <w:rFonts w:ascii="Arial Narrow" w:eastAsia="Arial Narrow" w:hAnsi="Arial Narrow" w:cs="Arial Narrow"/>
                    <w:sz w:val="24"/>
                    <w:szCs w:val="24"/>
                  </w:rPr>
                  <w:lastRenderedPageBreak/>
                  <w:t>económicos, causando no solo impactos físicos, sino rupturas espaciales, afectivas y emocionales. El riesgo surge cuando personas, bienes o infraestructuras están expuestos a una amenaza, ya sea de origen natural, antrópico o una combinación de ambas.</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Desastres por factores ambientales. </w:t>
                </w:r>
                <w:r>
                  <w:rPr>
                    <w:rFonts w:ascii="Arial Narrow" w:eastAsia="Arial Narrow" w:hAnsi="Arial Narrow" w:cs="Arial Narrow"/>
                    <w:sz w:val="24"/>
                    <w:szCs w:val="24"/>
                  </w:rPr>
                  <w:t>Disrupciones provocadas o vinculadas a amenazas naturales hidrometeorológicas o climatológicas, entre ellas las amenazas vinculadas al cambio climático, antropogénico, así como las amenazas geofísicas.</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Información ambiental.  </w:t>
                </w:r>
                <w:r>
                  <w:rPr>
                    <w:rFonts w:ascii="Arial Narrow" w:eastAsia="Arial Narrow" w:hAnsi="Arial Narrow" w:cs="Arial Narrow"/>
                    <w:sz w:val="24"/>
                    <w:szCs w:val="24"/>
                  </w:rPr>
                  <w:t>Cualquier información escrita, visual, sonora, electrónica o registrada en cualquier otro formato, relativa al medio ambiente y sus elementos y a los recursos naturales, incluyendo aquella que esté relacionada con los riesgos ambientales y los posibles impactos adversos asociados que afecten o puedan afectar el medio ambiente y la salud, así como la relacionada con la protección y la gestión ambientales</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Amenaza. </w:t>
                </w:r>
                <w:sdt>
                  <w:sdtPr>
                    <w:tag w:val="goog_rdk_1"/>
                    <w:id w:val="1439260227"/>
                  </w:sdtPr>
                  <w:sdtContent>
                    <w:r>
                      <w:rPr>
                        <w:rFonts w:ascii="Arial Unicode MS" w:eastAsia="Arial Unicode MS" w:hAnsi="Arial Unicode MS" w:cs="Arial Unicode MS"/>
                        <w:sz w:val="24"/>
                        <w:szCs w:val="24"/>
                      </w:rPr>
                      <w:t xml:space="preserve">Peligro latente de que un evento físico de origen natural, o causado, o inducido por la acción humana, se presente con una severidad </w:t>
                    </w:r>
                    <w:proofErr w:type="spellStart"/>
                    <w:r>
                      <w:rPr>
                        <w:rFonts w:ascii="Arial Unicode MS" w:eastAsia="Arial Unicode MS" w:hAnsi="Arial Unicode MS" w:cs="Arial Unicode MS"/>
                        <w:sz w:val="24"/>
                        <w:szCs w:val="24"/>
                      </w:rPr>
                      <w:t>suﬁciente</w:t>
                    </w:r>
                    <w:proofErr w:type="spellEnd"/>
                    <w:r>
                      <w:rPr>
                        <w:rFonts w:ascii="Arial Unicode MS" w:eastAsia="Arial Unicode MS" w:hAnsi="Arial Unicode MS" w:cs="Arial Unicode MS"/>
                        <w:sz w:val="24"/>
                        <w:szCs w:val="24"/>
                      </w:rPr>
                      <w:t xml:space="preserve"> para causar pérdida de </w:t>
                    </w:r>
                    <w:r>
                      <w:rPr>
                        <w:rFonts w:ascii="Arial Unicode MS" w:eastAsia="Arial Unicode MS" w:hAnsi="Arial Unicode MS" w:cs="Arial Unicode MS"/>
                        <w:sz w:val="24"/>
                        <w:szCs w:val="24"/>
                      </w:rPr>
                      <w:lastRenderedPageBreak/>
                      <w:t>vidas, lesiones u otros impactos en la salud, así como también daños y pérdidas en los bienes, la infraestructura, los medios de sustento, la prestación de servicios y los recursos ambientales.</w:t>
                    </w:r>
                  </w:sdtContent>
                </w:sdt>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Vulnerabilidad. </w:t>
                </w:r>
                <w:r>
                  <w:rPr>
                    <w:rFonts w:ascii="Arial Narrow" w:eastAsia="Arial Narrow" w:hAnsi="Arial Narrow" w:cs="Arial Narrow"/>
                    <w:sz w:val="24"/>
                    <w:szCs w:val="24"/>
                  </w:rPr>
                  <w:t>Es la incapacidad de resistencia de una comunidad cuando se presenta un fenómeno amenazante 0 la incapacidad para reponerse y absorber de manera autónoma, los efectos de una amenaza que pueda generar un determinado cambio en su medio ambiente, medios de vida y lugar de habitación. Tiene que ver con la inflexibilidad o incapacidad para adaptarse a ese cambio negativo, que para la comunidad constituye un riesgo. La intensidad de los daños que produce la materialización del riesgo sobre la comunidad está directamente relacionada con su grado de vulnerabilidad para enfrentarlo.</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Solución duradera.</w:t>
                </w:r>
                <w:r>
                  <w:rPr>
                    <w:rFonts w:ascii="Arial Narrow" w:eastAsia="Arial Narrow" w:hAnsi="Arial Narrow" w:cs="Arial Narrow"/>
                    <w:sz w:val="24"/>
                    <w:szCs w:val="24"/>
                  </w:rPr>
                  <w:t xml:space="preserve"> Una solución duradera se logra cuando las personas que estaban en situación de desplazamiento interno dejan de necesitar asistencia o protección específicas vinculadas con su desplazamiento y pueden disfrutar de sus derechos humanos sin ser discriminados por esa condición</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 xml:space="preserve">Gestión del riesgo. </w:t>
                </w:r>
                <w:r>
                  <w:rPr>
                    <w:rFonts w:ascii="Arial Narrow" w:eastAsia="Arial Narrow" w:hAnsi="Arial Narrow" w:cs="Arial Narrow"/>
                    <w:sz w:val="24"/>
                    <w:szCs w:val="24"/>
                  </w:rPr>
                  <w:t>Es el proceso social de planeación, ejecución, seguimiento y evaluación de políticas y acciones permanentes para el conocimiento del riesgo y promoción de una mayor conciencia del mismo, impedir o evitar que se genere, reducirlo o controlarlo cuando ya existe y para prepararse y manejar las situaciones de desastre, así como para la posterior recuperación, entiéndase: rehabilitación y reconstrucción. Estas acciones tienen el propósito explícito de contribuir a la seguridad, el bienestar y calidad de vida de las personas y al desarrollo sostenible.</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Exposición.</w:t>
                </w:r>
                <w:r>
                  <w:rPr>
                    <w:rFonts w:ascii="Arial Narrow" w:eastAsia="Arial Narrow" w:hAnsi="Arial Narrow" w:cs="Arial Narrow"/>
                    <w:sz w:val="24"/>
                    <w:szCs w:val="24"/>
                  </w:rPr>
                  <w:t xml:space="preserve"> Se refiere a la presencia de personas, medios de subsistencia, servicios ambientales y recursos económicos y sociales, bienes culturales e infraestructura que por su localización pueden ser afectados por la manifestación de una amenaza A medida que se genera exposición frente a la amenaza, aparece la vulnerabilidad.</w:t>
                </w:r>
              </w:p>
              <w:p w:rsidR="00DD3391" w:rsidRDefault="00CA2042">
                <w:pPr>
                  <w:widowControl w:val="0"/>
                  <w:spacing w:before="240" w:after="24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Riesgo climático. </w:t>
                </w:r>
                <w:r>
                  <w:rPr>
                    <w:rFonts w:ascii="Arial Narrow" w:eastAsia="Arial Narrow" w:hAnsi="Arial Narrow" w:cs="Arial Narrow"/>
                    <w:sz w:val="24"/>
                    <w:szCs w:val="24"/>
                  </w:rPr>
                  <w:t>Es la probabilidad de pérdidas socioeconómicas y de ecosistemas por eventos climatológicos, lo que se traduce en la evaluación de la exposición, la amenaza y la vulnerabilidad</w:t>
                </w:r>
              </w:p>
            </w:tc>
            <w:tc>
              <w:tcPr>
                <w:tcW w:w="3120" w:type="dxa"/>
                <w:shd w:val="clear" w:color="auto" w:fill="auto"/>
                <w:tcMar>
                  <w:top w:w="100" w:type="dxa"/>
                  <w:left w:w="100" w:type="dxa"/>
                  <w:bottom w:w="100" w:type="dxa"/>
                  <w:right w:w="100" w:type="dxa"/>
                </w:tcMar>
              </w:tcPr>
              <w:p w:rsidR="00DD3391" w:rsidRDefault="00CA2042">
                <w:pPr>
                  <w:widowControl w:val="0"/>
                  <w:shd w:val="clear" w:color="auto" w:fill="FFFFFF"/>
                  <w:spacing w:after="200"/>
                  <w:jc w:val="both"/>
                  <w:rPr>
                    <w:rFonts w:ascii="Arial Narrow" w:eastAsia="Arial Narrow" w:hAnsi="Arial Narrow" w:cs="Arial Narrow"/>
                    <w:b/>
                    <w:sz w:val="24"/>
                    <w:szCs w:val="24"/>
                    <w:u w:val="single"/>
                  </w:rPr>
                </w:pPr>
                <w:r>
                  <w:rPr>
                    <w:rFonts w:ascii="Arial Narrow" w:eastAsia="Arial Narrow" w:hAnsi="Arial Narrow" w:cs="Arial Narrow"/>
                    <w:b/>
                    <w:sz w:val="24"/>
                    <w:szCs w:val="24"/>
                  </w:rPr>
                  <w:lastRenderedPageBreak/>
                  <w:t xml:space="preserve">Artículo 3. Definiciones. </w:t>
                </w:r>
                <w:r>
                  <w:rPr>
                    <w:rFonts w:ascii="Arial Narrow" w:eastAsia="Arial Narrow" w:hAnsi="Arial Narrow" w:cs="Arial Narrow"/>
                    <w:b/>
                    <w:sz w:val="24"/>
                    <w:szCs w:val="24"/>
                    <w:u w:val="single"/>
                  </w:rPr>
                  <w:t>Para fines de la presente ley se tendrán las siguientes definiciones.</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Desplazados internos</w:t>
                </w:r>
                <w:r>
                  <w:rPr>
                    <w:rFonts w:ascii="Arial Narrow" w:eastAsia="Arial Narrow" w:hAnsi="Arial Narrow" w:cs="Arial Narrow"/>
                    <w:sz w:val="24"/>
                    <w:szCs w:val="24"/>
                  </w:rPr>
                  <w:t xml:space="preserve">. Los desplazados internos son personas o grupos de personas que se han visto forzadas u obligadas a escapar o huir de su hogar o de su lugar de residencia habitual, en particular como resultado o para evitar los efectos de un conflicto armado, de </w:t>
                </w:r>
                <w:r>
                  <w:rPr>
                    <w:rFonts w:ascii="Arial Narrow" w:eastAsia="Arial Narrow" w:hAnsi="Arial Narrow" w:cs="Arial Narrow"/>
                    <w:sz w:val="24"/>
                    <w:szCs w:val="24"/>
                  </w:rPr>
                  <w:lastRenderedPageBreak/>
                  <w:t xml:space="preserve">situaciones de violencia generalizada, de violaciones de los derechos humanos o de catástrofes naturales o provocadas por el ser humano, y que no han cruzado una frontera estatal internacionalmente reconocida.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Desplazados por factores ambientales.</w:t>
                </w:r>
                <w:r>
                  <w:rPr>
                    <w:rFonts w:ascii="Arial Narrow" w:eastAsia="Arial Narrow" w:hAnsi="Arial Narrow" w:cs="Arial Narrow"/>
                    <w:sz w:val="24"/>
                    <w:szCs w:val="24"/>
                  </w:rPr>
                  <w:t xml:space="preserve"> Los desplazados por factores ambientales son aquellas personas y comunidades que se han visto obligadas a abandonar su hogar o residencia habitual debido a </w:t>
                </w:r>
                <w:r>
                  <w:rPr>
                    <w:rFonts w:ascii="Arial Narrow" w:eastAsia="Arial Narrow" w:hAnsi="Arial Narrow" w:cs="Arial Narrow"/>
                    <w:b/>
                    <w:sz w:val="24"/>
                    <w:szCs w:val="24"/>
                    <w:u w:val="single"/>
                  </w:rPr>
                  <w:t>múltiples causas relacionadas con los</w:t>
                </w:r>
                <w:r>
                  <w:rPr>
                    <w:rFonts w:ascii="Arial Narrow" w:eastAsia="Arial Narrow" w:hAnsi="Arial Narrow" w:cs="Arial Narrow"/>
                    <w:sz w:val="24"/>
                    <w:szCs w:val="24"/>
                  </w:rPr>
                  <w:t xml:space="preserve"> desastres, las consecuencias del cambio climático y la degradación ambiental, </w:t>
                </w:r>
                <w:r>
                  <w:rPr>
                    <w:rFonts w:ascii="Arial Narrow" w:eastAsia="Arial Narrow" w:hAnsi="Arial Narrow" w:cs="Arial Narrow"/>
                    <w:b/>
                    <w:sz w:val="24"/>
                    <w:szCs w:val="24"/>
                    <w:highlight w:val="white"/>
                    <w:u w:val="single"/>
                  </w:rPr>
                  <w:t>que se pueden manifestar de forma repentina o por situaciones de lenta aparición,</w:t>
                </w:r>
                <w:r>
                  <w:rPr>
                    <w:rFonts w:ascii="Arial Narrow" w:eastAsia="Arial Narrow" w:hAnsi="Arial Narrow" w:cs="Arial Narrow"/>
                    <w:sz w:val="24"/>
                    <w:szCs w:val="24"/>
                  </w:rPr>
                  <w:t xml:space="preserve"> amenazando y afectando de manera compleja el ejercicio de los derechos de las personas.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Riesgo de desastres. </w:t>
                </w:r>
                <w:r>
                  <w:rPr>
                    <w:rFonts w:ascii="Arial Narrow" w:eastAsia="Arial Narrow" w:hAnsi="Arial Narrow" w:cs="Arial Narrow"/>
                    <w:sz w:val="24"/>
                    <w:szCs w:val="24"/>
                  </w:rPr>
                  <w:t xml:space="preserve">Corresponde a los daños o pérdidas potenciales que pueden presentarse debido a los eventos físicos peligrosos de origen natural, socio natural, tecnológico, biosanitario o humano no intencional, en un período de tiempo específico, y que son determinados por la </w:t>
                </w:r>
                <w:r>
                  <w:rPr>
                    <w:rFonts w:ascii="Arial Narrow" w:eastAsia="Arial Narrow" w:hAnsi="Arial Narrow" w:cs="Arial Narrow"/>
                    <w:sz w:val="24"/>
                    <w:szCs w:val="24"/>
                  </w:rPr>
                  <w:lastRenderedPageBreak/>
                  <w:t xml:space="preserve">vulnerabilidad de los elementos expuestos; por consiguiente, el riesgo de desastres se deriva de la combinación de la amenaza, exposición a la amenaza y vulnerabilidad global.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Desastres</w:t>
                </w:r>
                <w:r>
                  <w:rPr>
                    <w:rFonts w:ascii="Arial Narrow" w:eastAsia="Arial Narrow" w:hAnsi="Arial Narrow" w:cs="Arial Narrow"/>
                    <w:sz w:val="24"/>
                    <w:szCs w:val="24"/>
                  </w:rPr>
                  <w:t xml:space="preserve">. Un desastre puede entenderse como la manifestación de un riesgo que potencialmente afecta la vida humana, el medio ambiente, las infraestructuras sociales y los sistemas productivos y económicos, causando no solo impactos físicos, sino rupturas espaciales, afectivas y emocionales. El riesgo surge cuando personas, bienes o infraestructuras están expuestos a una amenaza, ya sea de origen natural, antrópico o una combinación de ambas.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Desastres por factores ambientales</w:t>
                </w:r>
                <w:r>
                  <w:rPr>
                    <w:rFonts w:ascii="Arial Narrow" w:eastAsia="Arial Narrow" w:hAnsi="Arial Narrow" w:cs="Arial Narrow"/>
                    <w:sz w:val="24"/>
                    <w:szCs w:val="24"/>
                  </w:rPr>
                  <w:t xml:space="preserve">. Disrupciones provocadas o vinculadas a amenazas naturales hidrometeorológicas o climatológicas, entre ellas las amenazas vinculadas al cambio climático, antropogénico, así como las amenazas geofísicas.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Información ambiental.  </w:t>
                </w:r>
                <w:r>
                  <w:rPr>
                    <w:rFonts w:ascii="Arial Narrow" w:eastAsia="Arial Narrow" w:hAnsi="Arial Narrow" w:cs="Arial Narrow"/>
                    <w:sz w:val="24"/>
                    <w:szCs w:val="24"/>
                  </w:rPr>
                  <w:t xml:space="preserve">Cualquier información escrita, visual, sonora, electrónica o registrada en cualquier otro </w:t>
                </w:r>
                <w:r>
                  <w:rPr>
                    <w:rFonts w:ascii="Arial Narrow" w:eastAsia="Arial Narrow" w:hAnsi="Arial Narrow" w:cs="Arial Narrow"/>
                    <w:sz w:val="24"/>
                    <w:szCs w:val="24"/>
                  </w:rPr>
                  <w:lastRenderedPageBreak/>
                  <w:t xml:space="preserve">formato, relativa al medio ambiente y sus elementos y a los recursos naturales, incluyendo aquella que esté relacionada con los riesgos ambientales y los posibles impactos adversos asociados que afecten o puedan afectar el medio ambiente y la salud, así como la relacionada con la protección y la gestión ambientales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Amenaza</w:t>
                </w:r>
                <w:sdt>
                  <w:sdtPr>
                    <w:tag w:val="goog_rdk_2"/>
                    <w:id w:val="-1897734873"/>
                  </w:sdtPr>
                  <w:sdtContent>
                    <w:r>
                      <w:rPr>
                        <w:rFonts w:ascii="Arial Unicode MS" w:eastAsia="Arial Unicode MS" w:hAnsi="Arial Unicode MS" w:cs="Arial Unicode MS"/>
                        <w:sz w:val="24"/>
                        <w:szCs w:val="24"/>
                      </w:rPr>
                      <w:t xml:space="preserve">​. Peligro latente de que un evento físico de origen natural, o causado, o inducido por la acción humana, se presente con una severidad </w:t>
                    </w:r>
                    <w:proofErr w:type="spellStart"/>
                    <w:r>
                      <w:rPr>
                        <w:rFonts w:ascii="Arial Unicode MS" w:eastAsia="Arial Unicode MS" w:hAnsi="Arial Unicode MS" w:cs="Arial Unicode MS"/>
                        <w:sz w:val="24"/>
                        <w:szCs w:val="24"/>
                      </w:rPr>
                      <w:t>suﬁciente</w:t>
                    </w:r>
                    <w:proofErr w:type="spellEnd"/>
                    <w:r>
                      <w:rPr>
                        <w:rFonts w:ascii="Arial Unicode MS" w:eastAsia="Arial Unicode MS" w:hAnsi="Arial Unicode MS" w:cs="Arial Unicode MS"/>
                        <w:sz w:val="24"/>
                        <w:szCs w:val="24"/>
                      </w:rPr>
                      <w:t xml:space="preserve"> para causar pérdida de vidas, lesiones u otros impactos en la salud, así como también daños y pérdidas en los bienes, la infraestructura, los medios de sustento, la prestación de servicios y los recursos ambientales. ​ </w:t>
                    </w:r>
                  </w:sdtContent>
                </w:sdt>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Vulnerabilidad.</w:t>
                </w:r>
                <w:r>
                  <w:rPr>
                    <w:rFonts w:ascii="Arial Narrow" w:eastAsia="Arial Narrow" w:hAnsi="Arial Narrow" w:cs="Arial Narrow"/>
                    <w:sz w:val="24"/>
                    <w:szCs w:val="24"/>
                  </w:rPr>
                  <w:t xml:space="preserve"> Es la incapacidad de resistencia de una comunidad cuando se presenta un fenómeno amenazante 0 la incapacidad para reponerse y absorber de manera autónoma, los efectos de una amenaza que pueda generar un determinado cambio en su medio ambiente, medios de vida </w:t>
                </w:r>
                <w:r>
                  <w:rPr>
                    <w:rFonts w:ascii="Arial Narrow" w:eastAsia="Arial Narrow" w:hAnsi="Arial Narrow" w:cs="Arial Narrow"/>
                    <w:sz w:val="24"/>
                    <w:szCs w:val="24"/>
                  </w:rPr>
                  <w:lastRenderedPageBreak/>
                  <w:t xml:space="preserve">y lugar de habitación. Tiene que ver con la inflexibilidad o incapacidad para adaptarse a ese cambio negativo, que para la comunidad constituye un riesgo. La intensidad de los daños que produce la materialización del riesgo sobre la comunidad está directamente relacionada con su grado de vulnerabilidad para enfrentarlo.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Solución duradera. </w:t>
                </w:r>
                <w:r>
                  <w:rPr>
                    <w:rFonts w:ascii="Arial Narrow" w:eastAsia="Arial Narrow" w:hAnsi="Arial Narrow" w:cs="Arial Narrow"/>
                    <w:sz w:val="24"/>
                    <w:szCs w:val="24"/>
                  </w:rPr>
                  <w:t xml:space="preserve">Una solución duradera se logra cuando las personas que estaban en situación de desplazamiento interno dejan de necesitar asistencia o protección específicas vinculadas con su desplazamiento y pueden disfrutar de sus derechos humanos sin ser discriminados por esa condición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Gestión del riesgo</w:t>
                </w:r>
                <w:r>
                  <w:rPr>
                    <w:rFonts w:ascii="Arial Narrow" w:eastAsia="Arial Narrow" w:hAnsi="Arial Narrow" w:cs="Arial Narrow"/>
                    <w:sz w:val="24"/>
                    <w:szCs w:val="24"/>
                  </w:rPr>
                  <w:t xml:space="preserve">. Es el proceso social de planeación, ejecución, seguimiento y evaluación de políticas y acciones permanentes para el conocimiento del riesgo y promoción de una mayor conciencia del mismo, impedir o evitar que se genere, reducirlo o controlarlo cuando ya existe y para prepararse y manejar las situaciones de desastre, así como para la posterior recuperación, entiéndase: </w:t>
                </w:r>
                <w:r>
                  <w:rPr>
                    <w:rFonts w:ascii="Arial Narrow" w:eastAsia="Arial Narrow" w:hAnsi="Arial Narrow" w:cs="Arial Narrow"/>
                    <w:sz w:val="24"/>
                    <w:szCs w:val="24"/>
                  </w:rPr>
                  <w:lastRenderedPageBreak/>
                  <w:t xml:space="preserve">rehabilitación y reconstrucción. Estas acciones tienen el propósito explícito de contribuir a la seguridad, el bienestar y calidad de vida de las personas y al desarrollo sostenible.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Exposición. </w:t>
                </w:r>
                <w:r>
                  <w:rPr>
                    <w:rFonts w:ascii="Arial Narrow" w:eastAsia="Arial Narrow" w:hAnsi="Arial Narrow" w:cs="Arial Narrow"/>
                    <w:sz w:val="24"/>
                    <w:szCs w:val="24"/>
                  </w:rPr>
                  <w:t xml:space="preserve">Se refiere a la presencia de personas, medios de subsistencia, servicios ambientales y recursos económicos y sociales, bienes culturales e infraestructura que por su localización pueden ser afectados por la manifestación de una amenaza A medida que se genera exposición frente a la amenaza, aparece la vulnerabilidad.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Riesgo climático</w:t>
                </w:r>
                <w:r>
                  <w:rPr>
                    <w:rFonts w:ascii="Arial Narrow" w:eastAsia="Arial Narrow" w:hAnsi="Arial Narrow" w:cs="Arial Narrow"/>
                    <w:sz w:val="24"/>
                    <w:szCs w:val="24"/>
                  </w:rPr>
                  <w:t xml:space="preserve">. Es la probabilidad de pérdidas socioeconómicas y de ecosistemas por eventos climatológicos, lo que se traduce en la evaluación de la exposición, la amenaza y la vulnerabilidad </w:t>
                </w:r>
              </w:p>
              <w:p w:rsidR="00DD3391" w:rsidRDefault="00CA2042">
                <w:pPr>
                  <w:widowControl w:val="0"/>
                  <w:shd w:val="clear" w:color="auto" w:fill="FFFFFF"/>
                  <w:spacing w:after="200"/>
                  <w:jc w:val="both"/>
                  <w:rPr>
                    <w:rFonts w:ascii="Arial Narrow" w:eastAsia="Arial Narrow" w:hAnsi="Arial Narrow" w:cs="Arial Narrow"/>
                    <w:b/>
                    <w:sz w:val="24"/>
                    <w:szCs w:val="24"/>
                  </w:rPr>
                </w:pPr>
                <w:r>
                  <w:rPr>
                    <w:rFonts w:ascii="Arial Narrow" w:eastAsia="Arial Narrow" w:hAnsi="Arial Narrow" w:cs="Arial Narrow"/>
                    <w:b/>
                    <w:sz w:val="24"/>
                    <w:szCs w:val="24"/>
                    <w:u w:val="single"/>
                  </w:rPr>
                  <w:t xml:space="preserve">Emplazamiento por factores ambientales. Situaciones en las que las personas, aunque son víctimas de las múltiples causas que provocan el desplazamiento por factores ambientales, no pueden desplazarse debido a  razones tales como su relación con el territorio o su alta </w:t>
                </w:r>
                <w:r>
                  <w:rPr>
                    <w:rFonts w:ascii="Arial Narrow" w:eastAsia="Arial Narrow" w:hAnsi="Arial Narrow" w:cs="Arial Narrow"/>
                    <w:b/>
                    <w:sz w:val="24"/>
                    <w:szCs w:val="24"/>
                    <w:u w:val="single"/>
                  </w:rPr>
                  <w:lastRenderedPageBreak/>
                  <w:t xml:space="preserve">vulnerabilidad. Por lo cual,  siguen expuestas a los efectos de los factores que provocan el desplazamiento. </w:t>
                </w:r>
              </w:p>
            </w:tc>
            <w:tc>
              <w:tcPr>
                <w:tcW w:w="3120" w:type="dxa"/>
                <w:shd w:val="clear" w:color="auto" w:fill="auto"/>
                <w:tcMar>
                  <w:top w:w="100" w:type="dxa"/>
                  <w:left w:w="100" w:type="dxa"/>
                  <w:bottom w:w="100" w:type="dxa"/>
                  <w:right w:w="100" w:type="dxa"/>
                </w:tcMar>
              </w:tcPr>
              <w:p w:rsidR="00DD3391" w:rsidRDefault="00CA2042">
                <w:pPr>
                  <w:widowControl w:val="0"/>
                  <w:pBdr>
                    <w:top w:val="nil"/>
                    <w:left w:val="nil"/>
                    <w:bottom w:val="nil"/>
                    <w:right w:val="nil"/>
                    <w:between w:val="nil"/>
                  </w:pBd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Se ajusta la definición de desplazados por factores ambientales entendiendo el carácter multicausal de dicho fenómeno, ya que se presentan una conjunción de factores como los ambientales, políticos, económicos, etc. Además, se considera el ritmo en el cual se desarrollan los desastres, así como las consecuencias del cambio climático, y la degradación ambiental, los cuales se pueden manifestar de forma repentina o por aparición </w:t>
                </w:r>
                <w:r>
                  <w:rPr>
                    <w:rFonts w:ascii="Arial Narrow" w:eastAsia="Arial Narrow" w:hAnsi="Arial Narrow" w:cs="Arial Narrow"/>
                    <w:sz w:val="24"/>
                    <w:szCs w:val="24"/>
                  </w:rPr>
                  <w:lastRenderedPageBreak/>
                  <w:t>lenta. Aspectos que han sido reiterados por la Corte Constitucional en la Sentencia T-123/24.</w:t>
                </w:r>
              </w:p>
              <w:p w:rsidR="00DD3391" w:rsidRDefault="00DD3391">
                <w:pPr>
                  <w:widowControl w:val="0"/>
                  <w:pBdr>
                    <w:top w:val="nil"/>
                    <w:left w:val="nil"/>
                    <w:bottom w:val="nil"/>
                    <w:right w:val="nil"/>
                    <w:between w:val="nil"/>
                  </w:pBdr>
                  <w:spacing w:line="240" w:lineRule="auto"/>
                  <w:rPr>
                    <w:rFonts w:ascii="Arial Narrow" w:eastAsia="Arial Narrow" w:hAnsi="Arial Narrow" w:cs="Arial Narrow"/>
                    <w:sz w:val="24"/>
                    <w:szCs w:val="24"/>
                  </w:rPr>
                </w:pPr>
              </w:p>
              <w:p w:rsidR="00DD3391" w:rsidRDefault="00CA2042">
                <w:pPr>
                  <w:widowControl w:val="0"/>
                  <w:pBdr>
                    <w:top w:val="nil"/>
                    <w:left w:val="nil"/>
                    <w:bottom w:val="nil"/>
                    <w:right w:val="nil"/>
                    <w:between w:val="nil"/>
                  </w:pBd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Asimismo, se define el término de emplazamiento, comprendiendo que este suele ser empleado en el derecho como un plazo, lo cual puede generar confusiones, ya que en el desplazamiento por factores ambientales, su definición es otra. Término que se conceptualiza de conformidad con lo establecido en la sentencia mencionada.</w:t>
                </w:r>
              </w:p>
            </w:tc>
          </w:tr>
          <w:tr w:rsidR="00DD3391">
            <w:tc>
              <w:tcPr>
                <w:tcW w:w="3120" w:type="dxa"/>
                <w:shd w:val="clear" w:color="auto" w:fill="auto"/>
                <w:tcMar>
                  <w:top w:w="100" w:type="dxa"/>
                  <w:left w:w="100" w:type="dxa"/>
                  <w:bottom w:w="100" w:type="dxa"/>
                  <w:right w:w="100" w:type="dxa"/>
                </w:tcMar>
              </w:tcPr>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Artículo</w:t>
                </w:r>
                <w:r>
                  <w:rPr>
                    <w:rFonts w:ascii="Arial Narrow" w:eastAsia="Arial Narrow" w:hAnsi="Arial Narrow" w:cs="Arial Narrow"/>
                    <w:sz w:val="24"/>
                    <w:szCs w:val="24"/>
                  </w:rPr>
                  <w:t> </w:t>
                </w:r>
                <w:r>
                  <w:rPr>
                    <w:rFonts w:ascii="Arial Narrow" w:eastAsia="Arial Narrow" w:hAnsi="Arial Narrow" w:cs="Arial Narrow"/>
                    <w:b/>
                    <w:sz w:val="24"/>
                    <w:szCs w:val="24"/>
                  </w:rPr>
                  <w:t xml:space="preserve">4. Derechos de las personas desplazadas por factores ambientales. </w:t>
                </w:r>
                <w:r>
                  <w:rPr>
                    <w:rFonts w:ascii="Arial Narrow" w:eastAsia="Arial Narrow" w:hAnsi="Arial Narrow" w:cs="Arial Narrow"/>
                    <w:sz w:val="24"/>
                    <w:szCs w:val="24"/>
                  </w:rPr>
                  <w:t xml:space="preserve">Las personas desplazadas por factores ambientales tienen, entre otros, los siguientes derechos: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una vivienda digna, cobijo y alojamiento básico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al trabajo y al mínimo vital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la alimentación y a la seguridad alimentaria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la vida en condiciones de dignidad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la integridad y la seguridad personal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de acceso a la información ambiental, oportuna y transparente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la igualdad y a no ser discriminados en razón de su edad, etnia, género, orientación sexual y situación de discapacidad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un ambiente sano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Derecho al acompañamiento social, técnico, jurídico y operativo antes, durante y posterior al desplazamiento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la reunificación familiar y a la protección integral de la familia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la salud, servicios médicos y de saneamiento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acceder a soluciones definitivas a su situación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al retorno voluntario seguro, digno y sostenible.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al reasentamiento y a la reubicación voluntaria, segura, digna y sostenible orientada a su estabilización socioeconómica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de las personas a escoger su lugar de domicilio  </w:t>
                </w:r>
              </w:p>
              <w:p w:rsidR="00DD3391" w:rsidRDefault="00CA2042">
                <w:pPr>
                  <w:widowControl w:val="0"/>
                  <w:shd w:val="clear" w:color="auto" w:fill="FFFFFF"/>
                  <w:spacing w:after="20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Derecho a participación pública en el proceso de toma de decisiones ambientales </w:t>
                </w:r>
              </w:p>
            </w:tc>
            <w:tc>
              <w:tcPr>
                <w:tcW w:w="3120" w:type="dxa"/>
                <w:shd w:val="clear" w:color="auto" w:fill="auto"/>
                <w:tcMar>
                  <w:top w:w="100" w:type="dxa"/>
                  <w:left w:w="100" w:type="dxa"/>
                  <w:bottom w:w="100" w:type="dxa"/>
                  <w:right w:w="100" w:type="dxa"/>
                </w:tcMar>
              </w:tcPr>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Artículo</w:t>
                </w:r>
                <w:r>
                  <w:rPr>
                    <w:rFonts w:ascii="Arial Narrow" w:eastAsia="Arial Narrow" w:hAnsi="Arial Narrow" w:cs="Arial Narrow"/>
                    <w:sz w:val="24"/>
                    <w:szCs w:val="24"/>
                  </w:rPr>
                  <w:t> </w:t>
                </w:r>
                <w:r>
                  <w:rPr>
                    <w:rFonts w:ascii="Arial Narrow" w:eastAsia="Arial Narrow" w:hAnsi="Arial Narrow" w:cs="Arial Narrow"/>
                    <w:b/>
                    <w:sz w:val="24"/>
                    <w:szCs w:val="24"/>
                  </w:rPr>
                  <w:t xml:space="preserve">4. Derechos de las personas desplazadas por factores ambientales. </w:t>
                </w:r>
                <w:r>
                  <w:rPr>
                    <w:rFonts w:ascii="Arial Narrow" w:eastAsia="Arial Narrow" w:hAnsi="Arial Narrow" w:cs="Arial Narrow"/>
                    <w:sz w:val="24"/>
                    <w:szCs w:val="24"/>
                  </w:rPr>
                  <w:t xml:space="preserve">Las personas desplazadas por factores ambientales tienen, entre otros, los siguientes derechos: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una vivienda digna, cobijo y alojamiento básico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al trabajo y al mínimo vital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la alimentación y a la seguridad alimentaria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la vida en condiciones de dignidad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la integridad y la seguridad personal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de acceso a la información ambiental, oportuna y transparente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la igualdad y a no ser discriminados en razón de su edad, etnia, género, orientación sexual y situación de discapacidad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un ambiente sano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Derecho al acompañamiento social, técnico, jurídico y operativo antes, durante y posterior al desplazamiento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la reunificación familiar y a la protección integral de la familia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la salud, servicios médicos y de saneamiento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acceder a soluciones definitivas a su situación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al retorno voluntario seguro, digno y sostenible.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al reasentamiento y a la reubicación voluntaria, segura, digna y sostenible orientada a su estabilización socioeconómica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de las personas a escoger su lugar de domicilio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participación pública en el proceso de toma de decisiones ambientales </w:t>
                </w:r>
              </w:p>
              <w:p w:rsidR="00DD3391" w:rsidRDefault="00CA2042">
                <w:pPr>
                  <w:widowControl w:val="0"/>
                  <w:shd w:val="clear" w:color="auto" w:fill="FFFFFF"/>
                  <w:spacing w:after="200"/>
                  <w:jc w:val="both"/>
                  <w:rPr>
                    <w:rFonts w:ascii="Arial Narrow" w:eastAsia="Arial Narrow" w:hAnsi="Arial Narrow" w:cs="Arial Narrow"/>
                    <w:b/>
                    <w:sz w:val="24"/>
                    <w:szCs w:val="24"/>
                  </w:rPr>
                </w:pPr>
                <w:r>
                  <w:rPr>
                    <w:rFonts w:ascii="Arial Narrow" w:eastAsia="Arial Narrow" w:hAnsi="Arial Narrow" w:cs="Arial Narrow"/>
                    <w:b/>
                    <w:sz w:val="24"/>
                    <w:szCs w:val="24"/>
                    <w:u w:val="single"/>
                  </w:rPr>
                  <w:t>Derecho a la justicia, con miras a garantizar el acceso a mecanismos legales efectivos para asegurar una reparación integral.</w:t>
                </w:r>
              </w:p>
            </w:tc>
            <w:tc>
              <w:tcPr>
                <w:tcW w:w="3120" w:type="dxa"/>
                <w:shd w:val="clear" w:color="auto" w:fill="auto"/>
                <w:tcMar>
                  <w:top w:w="100" w:type="dxa"/>
                  <w:left w:w="100" w:type="dxa"/>
                  <w:bottom w:w="100" w:type="dxa"/>
                  <w:right w:w="100" w:type="dxa"/>
                </w:tcMar>
              </w:tcPr>
              <w:p w:rsidR="00DD3391" w:rsidRDefault="00CA2042">
                <w:pPr>
                  <w:widowControl w:val="0"/>
                  <w:pBdr>
                    <w:top w:val="nil"/>
                    <w:left w:val="nil"/>
                    <w:bottom w:val="nil"/>
                    <w:right w:val="nil"/>
                    <w:between w:val="nil"/>
                  </w:pBd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Se adiciona el derecho a la justicia, entendiendo la necesidad de que los desplazados puedan acceder a los mecanismos de reparación integral de forma eficaz y eficiente para la garantía de los derechos humanos. </w:t>
                </w:r>
              </w:p>
            </w:tc>
          </w:tr>
          <w:tr w:rsidR="00DD3391">
            <w:tc>
              <w:tcPr>
                <w:tcW w:w="3120" w:type="dxa"/>
                <w:shd w:val="clear" w:color="auto" w:fill="auto"/>
                <w:tcMar>
                  <w:top w:w="100" w:type="dxa"/>
                  <w:left w:w="100" w:type="dxa"/>
                  <w:bottom w:w="100" w:type="dxa"/>
                  <w:right w:w="100" w:type="dxa"/>
                </w:tcMar>
              </w:tcPr>
              <w:p w:rsidR="00DD3391" w:rsidRDefault="00CA2042">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 xml:space="preserve">Artículo 6. Obligaciones especiales en cabeza del Estado. </w:t>
                </w:r>
                <w:r>
                  <w:rPr>
                    <w:rFonts w:ascii="Arial Narrow" w:eastAsia="Arial Narrow" w:hAnsi="Arial Narrow" w:cs="Arial Narrow"/>
                    <w:sz w:val="24"/>
                    <w:szCs w:val="24"/>
                  </w:rPr>
                  <w:t xml:space="preserve">El Estado Colombiano </w:t>
                </w:r>
                <w:r>
                  <w:rPr>
                    <w:rFonts w:ascii="Arial Narrow" w:eastAsia="Arial Narrow" w:hAnsi="Arial Narrow" w:cs="Arial Narrow"/>
                    <w:sz w:val="24"/>
                    <w:szCs w:val="24"/>
                  </w:rPr>
                  <w:lastRenderedPageBreak/>
                  <w:t>tiene obligaciones particulares para enfrentar el desplazamiento forzado por factores ambientales, las cuales implican la adopción de medidas de prevención y adaptación incluyendo la mitigación del riesgo de desplazamiento, las que se activan durante el desplazamiento, protección y atención humanitaria, y las relacionadas con el regreso, reasentamiento y la reintegración.</w:t>
                </w:r>
              </w:p>
              <w:p w:rsidR="00DD3391" w:rsidRDefault="00DD3391">
                <w:pPr>
                  <w:widowControl w:val="0"/>
                  <w:shd w:val="clear" w:color="auto" w:fill="FFFFFF"/>
                  <w:spacing w:after="200"/>
                  <w:jc w:val="both"/>
                  <w:rPr>
                    <w:rFonts w:ascii="Arial Narrow" w:eastAsia="Arial Narrow" w:hAnsi="Arial Narrow" w:cs="Arial Narrow"/>
                    <w:b/>
                    <w:sz w:val="24"/>
                    <w:szCs w:val="24"/>
                  </w:rPr>
                </w:pPr>
              </w:p>
            </w:tc>
            <w:tc>
              <w:tcPr>
                <w:tcW w:w="3120" w:type="dxa"/>
                <w:shd w:val="clear" w:color="auto" w:fill="auto"/>
                <w:tcMar>
                  <w:top w:w="100" w:type="dxa"/>
                  <w:left w:w="100" w:type="dxa"/>
                  <w:bottom w:w="100" w:type="dxa"/>
                  <w:right w:w="100" w:type="dxa"/>
                </w:tcMar>
              </w:tcPr>
              <w:p w:rsidR="00DD3391" w:rsidRDefault="00CA2042">
                <w:pPr>
                  <w:widowControl w:val="0"/>
                  <w:shd w:val="clear" w:color="auto" w:fill="FFFFFF"/>
                  <w:spacing w:after="200"/>
                  <w:jc w:val="both"/>
                  <w:rPr>
                    <w:rFonts w:ascii="Arial Narrow" w:eastAsia="Arial Narrow" w:hAnsi="Arial Narrow" w:cs="Arial Narrow"/>
                    <w:b/>
                    <w:sz w:val="24"/>
                    <w:szCs w:val="24"/>
                  </w:rPr>
                </w:pPr>
                <w:r>
                  <w:rPr>
                    <w:rFonts w:ascii="Arial Narrow" w:eastAsia="Arial Narrow" w:hAnsi="Arial Narrow" w:cs="Arial Narrow"/>
                    <w:b/>
                    <w:sz w:val="24"/>
                    <w:szCs w:val="24"/>
                  </w:rPr>
                  <w:lastRenderedPageBreak/>
                  <w:t xml:space="preserve">Artículo 6. Obligaciones especiales en cabeza del Estado. </w:t>
                </w:r>
                <w:r>
                  <w:rPr>
                    <w:rFonts w:ascii="Arial Narrow" w:eastAsia="Arial Narrow" w:hAnsi="Arial Narrow" w:cs="Arial Narrow"/>
                    <w:sz w:val="24"/>
                    <w:szCs w:val="24"/>
                  </w:rPr>
                  <w:t xml:space="preserve">El Estado Colombiano tiene obligaciones particulares </w:t>
                </w:r>
                <w:r>
                  <w:rPr>
                    <w:rFonts w:ascii="Arial Narrow" w:eastAsia="Arial Narrow" w:hAnsi="Arial Narrow" w:cs="Arial Narrow"/>
                    <w:sz w:val="24"/>
                    <w:szCs w:val="24"/>
                  </w:rPr>
                  <w:lastRenderedPageBreak/>
                  <w:t xml:space="preserve">para enfrentar el desplazamiento forzado por factores ambientales, las cuales implican la </w:t>
                </w:r>
                <w:r>
                  <w:rPr>
                    <w:rFonts w:ascii="Arial Narrow" w:eastAsia="Arial Narrow" w:hAnsi="Arial Narrow" w:cs="Arial Narrow"/>
                    <w:b/>
                    <w:sz w:val="24"/>
                    <w:szCs w:val="24"/>
                    <w:u w:val="single"/>
                  </w:rPr>
                  <w:t>adopción de una política pública integral sobre el tema, junto a</w:t>
                </w:r>
                <w:r>
                  <w:rPr>
                    <w:rFonts w:ascii="Arial Narrow" w:eastAsia="Arial Narrow" w:hAnsi="Arial Narrow" w:cs="Arial Narrow"/>
                    <w:sz w:val="24"/>
                    <w:szCs w:val="24"/>
                  </w:rPr>
                  <w:t xml:space="preserve"> de medidas de prevención y adaptación incluyendo la mitigación del riesgo de desplazamiento, las que se activan durante el desplazamiento, protección y atención humanitaria, y las relacionadas con el regreso, reasentamiento y la reintegración.</w:t>
                </w:r>
              </w:p>
            </w:tc>
            <w:tc>
              <w:tcPr>
                <w:tcW w:w="3120" w:type="dxa"/>
                <w:shd w:val="clear" w:color="auto" w:fill="auto"/>
                <w:tcMar>
                  <w:top w:w="100" w:type="dxa"/>
                  <w:left w:w="100" w:type="dxa"/>
                  <w:bottom w:w="100" w:type="dxa"/>
                  <w:right w:w="100" w:type="dxa"/>
                </w:tcMar>
              </w:tcPr>
              <w:p w:rsidR="00DD3391" w:rsidRDefault="00CA2042">
                <w:pPr>
                  <w:widowControl w:val="0"/>
                  <w:pBdr>
                    <w:top w:val="nil"/>
                    <w:left w:val="nil"/>
                    <w:bottom w:val="nil"/>
                    <w:right w:val="nil"/>
                    <w:between w:val="nil"/>
                  </w:pBd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Se adiciona la creación de una política pública, ya que constituye el instrumento indicado para abordar de manera estructural e </w:t>
                </w:r>
                <w:r>
                  <w:rPr>
                    <w:rFonts w:ascii="Arial Narrow" w:eastAsia="Arial Narrow" w:hAnsi="Arial Narrow" w:cs="Arial Narrow"/>
                    <w:sz w:val="24"/>
                    <w:szCs w:val="24"/>
                  </w:rPr>
                  <w:lastRenderedPageBreak/>
                  <w:t>integral, las diversas etapas que conforman el desplazamiento por factores ambientales, tales como la prevención, la adaptación, la protección y la atención antes, durante y posterior al desplazamiento.</w:t>
                </w:r>
              </w:p>
            </w:tc>
          </w:tr>
          <w:tr w:rsidR="00DD3391">
            <w:tc>
              <w:tcPr>
                <w:tcW w:w="3120" w:type="dxa"/>
                <w:shd w:val="clear" w:color="auto" w:fill="auto"/>
                <w:tcMar>
                  <w:top w:w="100" w:type="dxa"/>
                  <w:left w:w="100" w:type="dxa"/>
                  <w:bottom w:w="100" w:type="dxa"/>
                  <w:right w:w="100" w:type="dxa"/>
                </w:tcMar>
              </w:tcPr>
              <w:p w:rsidR="00DD3391" w:rsidRDefault="00CA2042">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b/>
                    <w:sz w:val="24"/>
                    <w:szCs w:val="24"/>
                  </w:rPr>
                  <w:t>Artículo 7. Obligaciones de prevención y adaptación</w:t>
                </w:r>
                <w:r>
                  <w:rPr>
                    <w:rFonts w:ascii="Arial Narrow" w:eastAsia="Arial Narrow" w:hAnsi="Arial Narrow" w:cs="Arial Narrow"/>
                    <w:sz w:val="24"/>
                    <w:szCs w:val="24"/>
                  </w:rPr>
                  <w:t xml:space="preserve">. Las medidas de prevención y adaptación adoptadas por el Estado conducirán en primera instancia a la mitigación del riesgo del desplazamiento, incorporando diagnósticos técnicos y participativos que identifiquen los riesgos de desplazamiento por desastres, debido al deterioro o la variabilidad ambiental, teniendo en cuenta los lineamientos internacionales en la materia y garantizando el acceso a la información ambiental. Las políticas y programas de prevención y adaptación deben </w:t>
                </w:r>
                <w:r>
                  <w:rPr>
                    <w:rFonts w:ascii="Arial Narrow" w:eastAsia="Arial Narrow" w:hAnsi="Arial Narrow" w:cs="Arial Narrow"/>
                    <w:sz w:val="24"/>
                    <w:szCs w:val="24"/>
                  </w:rPr>
                  <w:lastRenderedPageBreak/>
                  <w:t>reconocer que puede existir intersección y confluencia de causas del desplazamiento, estableciendo medidas pertinentes para estos casos.</w:t>
                </w:r>
              </w:p>
              <w:p w:rsidR="00DD3391" w:rsidRDefault="00CA2042">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1. </w:t>
                </w:r>
                <w:r>
                  <w:rPr>
                    <w:rFonts w:ascii="Arial Narrow" w:eastAsia="Arial Narrow" w:hAnsi="Arial Narrow" w:cs="Arial Narrow"/>
                    <w:sz w:val="24"/>
                    <w:szCs w:val="24"/>
                  </w:rPr>
                  <w:t>Las entidades del nivel nacional, departamental y municipal fortalecerán los programas de adaptación y resiliencia al cambio climático con enfoque diferencial y teniendo en cuenta a las poblaciones vulnerables y con menor capacidad de resiliencia, así como a las que tienen un mayor arraigo en el territorio como lo son los pueblos indígenas, afrodescendientes y comunidades campesinas.</w:t>
                </w:r>
              </w:p>
              <w:p w:rsidR="00DD3391" w:rsidRDefault="00CA2042">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2. </w:t>
                </w:r>
                <w:r>
                  <w:rPr>
                    <w:rFonts w:ascii="Arial Narrow" w:eastAsia="Arial Narrow" w:hAnsi="Arial Narrow" w:cs="Arial Narrow"/>
                    <w:sz w:val="24"/>
                    <w:szCs w:val="24"/>
                  </w:rPr>
                  <w:t>La normatividad para la gestión de desastres y la gestión del cambio climático, debe tener en cuenta el riesgo de desplazamiento por factores ambientales, estableciendo acciones y medidas concretas para enfrentarlo.</w:t>
                </w:r>
              </w:p>
              <w:p w:rsidR="00DD3391" w:rsidRDefault="00CA2042">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3. </w:t>
                </w:r>
                <w:r>
                  <w:rPr>
                    <w:rFonts w:ascii="Arial Narrow" w:eastAsia="Arial Narrow" w:hAnsi="Arial Narrow" w:cs="Arial Narrow"/>
                    <w:sz w:val="24"/>
                    <w:szCs w:val="24"/>
                  </w:rPr>
                  <w:t xml:space="preserve">Las Autoridades fortalecerán el sistema de alertas tempranas, diseñarán e implementarán planes de contingencia y estrategias de preparación que incluirán simulacros de evacuación, identificación de terrenos para la </w:t>
                </w:r>
                <w:r>
                  <w:rPr>
                    <w:rFonts w:ascii="Arial Narrow" w:eastAsia="Arial Narrow" w:hAnsi="Arial Narrow" w:cs="Arial Narrow"/>
                    <w:sz w:val="24"/>
                    <w:szCs w:val="24"/>
                  </w:rPr>
                  <w:lastRenderedPageBreak/>
                  <w:t>reubicación y mecanismos de relocalización planificada</w:t>
                </w:r>
              </w:p>
            </w:tc>
            <w:tc>
              <w:tcPr>
                <w:tcW w:w="3120" w:type="dxa"/>
                <w:shd w:val="clear" w:color="auto" w:fill="auto"/>
                <w:tcMar>
                  <w:top w:w="100" w:type="dxa"/>
                  <w:left w:w="100" w:type="dxa"/>
                  <w:bottom w:w="100" w:type="dxa"/>
                  <w:right w:w="100" w:type="dxa"/>
                </w:tcMar>
              </w:tcPr>
              <w:p w:rsidR="00DD3391" w:rsidRDefault="00CA2042">
                <w:pPr>
                  <w:widowControl w:val="0"/>
                  <w:shd w:val="clear" w:color="auto" w:fill="FFFFFF"/>
                  <w:spacing w:after="200"/>
                  <w:jc w:val="both"/>
                  <w:rPr>
                    <w:rFonts w:ascii="Arial Narrow" w:eastAsia="Arial Narrow" w:hAnsi="Arial Narrow" w:cs="Arial Narrow"/>
                    <w:b/>
                    <w:sz w:val="24"/>
                    <w:szCs w:val="24"/>
                    <w:u w:val="single"/>
                  </w:rPr>
                </w:pPr>
                <w:r>
                  <w:rPr>
                    <w:rFonts w:ascii="Arial Narrow" w:eastAsia="Arial Narrow" w:hAnsi="Arial Narrow" w:cs="Arial Narrow"/>
                    <w:b/>
                    <w:sz w:val="24"/>
                    <w:szCs w:val="24"/>
                  </w:rPr>
                  <w:lastRenderedPageBreak/>
                  <w:t xml:space="preserve">Artículo 7. Obligaciones de prevención y adaptación. </w:t>
                </w:r>
                <w:r>
                  <w:rPr>
                    <w:rFonts w:ascii="Arial Narrow" w:eastAsia="Arial Narrow" w:hAnsi="Arial Narrow" w:cs="Arial Narrow"/>
                    <w:sz w:val="24"/>
                    <w:szCs w:val="24"/>
                  </w:rPr>
                  <w:t>Las medidas de prevención y adaptación adoptadas por el Estado conducirán en primera instancia a la mitigación del riesgo del desplazamiento, incorporando diagnósticos técnicos y participativos que identifiquen los riesgos de desplazamiento por desastres, debido al deterioro o la variabilidad ambiental, teniendo en cuenta los lineamientos internacionales en la materia y garantizando el acceso a la información ambiental</w:t>
                </w:r>
                <w:r>
                  <w:rPr>
                    <w:rFonts w:ascii="Arial Narrow" w:eastAsia="Arial Narrow" w:hAnsi="Arial Narrow" w:cs="Arial Narrow"/>
                    <w:b/>
                    <w:sz w:val="24"/>
                    <w:szCs w:val="24"/>
                    <w:u w:val="single"/>
                  </w:rPr>
                  <w:t xml:space="preserve"> para la educación y sensibilización, y con ello, la participación comunitaria</w:t>
                </w:r>
                <w:r>
                  <w:rPr>
                    <w:rFonts w:ascii="Arial Narrow" w:eastAsia="Arial Narrow" w:hAnsi="Arial Narrow" w:cs="Arial Narrow"/>
                    <w:sz w:val="24"/>
                    <w:szCs w:val="24"/>
                  </w:rPr>
                  <w:t xml:space="preserve">. Las políticas y </w:t>
                </w:r>
                <w:r>
                  <w:rPr>
                    <w:rFonts w:ascii="Arial Narrow" w:eastAsia="Arial Narrow" w:hAnsi="Arial Narrow" w:cs="Arial Narrow"/>
                    <w:sz w:val="24"/>
                    <w:szCs w:val="24"/>
                  </w:rPr>
                  <w:lastRenderedPageBreak/>
                  <w:t xml:space="preserve">programas de prevención y adaptación deben reconocer que puede existir intersección y confluencia de causas del desplazamiento, estableciendo medidas pertinentes para estos casos.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Parágrafo 1</w:t>
                </w:r>
                <w:r>
                  <w:rPr>
                    <w:rFonts w:ascii="Arial Narrow" w:eastAsia="Arial Narrow" w:hAnsi="Arial Narrow" w:cs="Arial Narrow"/>
                    <w:sz w:val="24"/>
                    <w:szCs w:val="24"/>
                  </w:rPr>
                  <w:t>. Las entidades del nivel nacional, departamental y municipal fortalecerán los programas de adaptación y resiliencia al cambio climático con enfoque diferencial y teniendo en cuenta a las poblaciones vulnerables y con menor capacidad de resiliencia, así como a las que tienen un mayor arraigo en el territorio como lo son los pueblos indígenas, afrodescendientes</w:t>
                </w:r>
                <w:r>
                  <w:rPr>
                    <w:rFonts w:ascii="Arial Narrow" w:eastAsia="Arial Narrow" w:hAnsi="Arial Narrow" w:cs="Arial Narrow"/>
                    <w:b/>
                    <w:sz w:val="24"/>
                    <w:szCs w:val="24"/>
                    <w:u w:val="single"/>
                  </w:rPr>
                  <w:t>, palenqueros, raizales</w:t>
                </w:r>
                <w:r>
                  <w:rPr>
                    <w:rFonts w:ascii="Arial Narrow" w:eastAsia="Arial Narrow" w:hAnsi="Arial Narrow" w:cs="Arial Narrow"/>
                    <w:sz w:val="24"/>
                    <w:szCs w:val="24"/>
                  </w:rPr>
                  <w:t xml:space="preserve"> y comunidades campesinas.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Parágrafo 2</w:t>
                </w:r>
                <w:r>
                  <w:rPr>
                    <w:rFonts w:ascii="Arial Narrow" w:eastAsia="Arial Narrow" w:hAnsi="Arial Narrow" w:cs="Arial Narrow"/>
                    <w:sz w:val="24"/>
                    <w:szCs w:val="24"/>
                  </w:rPr>
                  <w:t xml:space="preserve">. La normatividad para la gestión de desastres y la gestión del cambio climático, debe tener en cuenta el riesgo de desplazamiento por factores ambientales, estableciendo acciones y medidas concretas para enfrentarlo.  </w:t>
                </w:r>
              </w:p>
              <w:p w:rsidR="00DD3391" w:rsidRDefault="00CA2042">
                <w:pPr>
                  <w:widowControl w:val="0"/>
                  <w:shd w:val="clear" w:color="auto" w:fill="FFFFFF"/>
                  <w:spacing w:after="200"/>
                  <w:jc w:val="both"/>
                  <w:rPr>
                    <w:rFonts w:ascii="Arial Narrow" w:eastAsia="Arial Narrow" w:hAnsi="Arial Narrow" w:cs="Arial Narrow"/>
                    <w:b/>
                    <w:sz w:val="24"/>
                    <w:szCs w:val="24"/>
                  </w:rPr>
                </w:pPr>
                <w:r>
                  <w:rPr>
                    <w:rFonts w:ascii="Arial Narrow" w:eastAsia="Arial Narrow" w:hAnsi="Arial Narrow" w:cs="Arial Narrow"/>
                    <w:b/>
                    <w:sz w:val="24"/>
                    <w:szCs w:val="24"/>
                  </w:rPr>
                  <w:t>Parágrafo 3</w:t>
                </w:r>
                <w:r>
                  <w:rPr>
                    <w:rFonts w:ascii="Arial Narrow" w:eastAsia="Arial Narrow" w:hAnsi="Arial Narrow" w:cs="Arial Narrow"/>
                    <w:sz w:val="24"/>
                    <w:szCs w:val="24"/>
                  </w:rPr>
                  <w:t xml:space="preserve">. Las Autoridades fortalecerán el sistema de alertas tempranas, diseñarán e implementarán planes de contingencia y estrategias de </w:t>
                </w:r>
                <w:r>
                  <w:rPr>
                    <w:rFonts w:ascii="Arial Narrow" w:eastAsia="Arial Narrow" w:hAnsi="Arial Narrow" w:cs="Arial Narrow"/>
                    <w:sz w:val="24"/>
                    <w:szCs w:val="24"/>
                  </w:rPr>
                  <w:lastRenderedPageBreak/>
                  <w:t xml:space="preserve">preparación que incluirán simulacros de evacuación, identificación de terrenos para la reubicación y mecanismos de relocalización planificada </w:t>
                </w:r>
              </w:p>
            </w:tc>
            <w:tc>
              <w:tcPr>
                <w:tcW w:w="3120" w:type="dxa"/>
                <w:shd w:val="clear" w:color="auto" w:fill="auto"/>
                <w:tcMar>
                  <w:top w:w="100" w:type="dxa"/>
                  <w:left w:w="100" w:type="dxa"/>
                  <w:bottom w:w="100" w:type="dxa"/>
                  <w:right w:w="100" w:type="dxa"/>
                </w:tcMar>
              </w:tcPr>
              <w:p w:rsidR="00DD3391" w:rsidRDefault="00CA2042">
                <w:pPr>
                  <w:widowControl w:val="0"/>
                  <w:pBdr>
                    <w:top w:val="nil"/>
                    <w:left w:val="nil"/>
                    <w:bottom w:val="nil"/>
                    <w:right w:val="nil"/>
                    <w:between w:val="nil"/>
                  </w:pBd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Se agrega el factor de educación y sensibilización, como aspecto integral del derecho al acceso a la información ambiental. Elementos claves para garantizar la participación comunitaria en las decisiones ambientales que afecten su territorio y </w:t>
                </w: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forma de vida, como medidas para garantizar la prevención y adaptación. </w:t>
                </w:r>
              </w:p>
              <w:p w:rsidR="00DD3391" w:rsidRDefault="00CA2042">
                <w:pPr>
                  <w:widowControl w:val="0"/>
                  <w:pBdr>
                    <w:top w:val="nil"/>
                    <w:left w:val="nil"/>
                    <w:bottom w:val="nil"/>
                    <w:right w:val="nil"/>
                    <w:between w:val="nil"/>
                  </w:pBd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Asimismo, entendiendo que las poblaciones raizales y palenqueras poseen un vínculo especial con sus territorios a raíz de su identidad cultural, se adicionan estas dos poblaciones y la especial protección que se le debe brindar.  </w:t>
                </w:r>
              </w:p>
            </w:tc>
          </w:tr>
          <w:tr w:rsidR="00DD3391">
            <w:tc>
              <w:tcPr>
                <w:tcW w:w="3120" w:type="dxa"/>
                <w:shd w:val="clear" w:color="auto" w:fill="auto"/>
                <w:tcMar>
                  <w:top w:w="100" w:type="dxa"/>
                  <w:left w:w="100" w:type="dxa"/>
                  <w:bottom w:w="100" w:type="dxa"/>
                  <w:right w:w="100" w:type="dxa"/>
                </w:tcMar>
              </w:tcPr>
              <w:p w:rsidR="00DD3391" w:rsidRDefault="00CA2042">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 xml:space="preserve">Artículo 9. Obligaciones posteriores al desplazamiento: regreso, reasentamiento y reintegración. </w:t>
                </w:r>
                <w:r>
                  <w:rPr>
                    <w:rFonts w:ascii="Arial Narrow" w:eastAsia="Arial Narrow" w:hAnsi="Arial Narrow" w:cs="Arial Narrow"/>
                    <w:sz w:val="24"/>
                    <w:szCs w:val="24"/>
                  </w:rPr>
                  <w:t xml:space="preserve">Se garantizará el regreso, reintegración y reasentamiento en zonas libres de amenazas antrópicas o naturales y sin afectar determinantes ambientales, a fin de brindar condiciones de seguridad, garantía de derechos y dignidad para las personas, comunidades y familias ubicadas en zonas de alto riesgo no mitigable y desplazados internos como consecuencia de desastres, cambio climático y degradación ambiental, garantizando soluciones duraderas, integrales y enmarcadas en el enfoque de derechos. </w:t>
                </w:r>
              </w:p>
              <w:p w:rsidR="00DD3391" w:rsidRDefault="00CA2042">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b/>
                    <w:sz w:val="24"/>
                    <w:szCs w:val="24"/>
                  </w:rPr>
                  <w:t>Parágrafo 1. Atención humanitaria.</w:t>
                </w:r>
                <w:r>
                  <w:rPr>
                    <w:rFonts w:ascii="Arial Narrow" w:eastAsia="Arial Narrow" w:hAnsi="Arial Narrow" w:cs="Arial Narrow"/>
                    <w:sz w:val="24"/>
                    <w:szCs w:val="24"/>
                  </w:rPr>
                  <w:t xml:space="preserve"> Se prestará asistencia a la población retornada, reasentada o reintegrada mientras esta no haya recuperado en la medida de lo posible, sus propiedades, </w:t>
                </w:r>
                <w:r>
                  <w:rPr>
                    <w:rFonts w:ascii="Arial Narrow" w:eastAsia="Arial Narrow" w:hAnsi="Arial Narrow" w:cs="Arial Narrow"/>
                    <w:sz w:val="24"/>
                    <w:szCs w:val="24"/>
                  </w:rPr>
                  <w:lastRenderedPageBreak/>
                  <w:t>bienes y posesiones, garantizando su derecho a la restitución del patrimonio y la vivienda, y de no ser posible esa recuperación y restitución, se concederá una indemnización adecuada o reparación</w:t>
                </w:r>
              </w:p>
              <w:p w:rsidR="00DD3391" w:rsidRDefault="00CA2042">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b/>
                    <w:sz w:val="24"/>
                    <w:szCs w:val="24"/>
                  </w:rPr>
                  <w:t>Parágrafo 2. Seguimiento y control de Zonas de riesgo no mitigable e instrumentos de planificación territorial.</w:t>
                </w:r>
                <w:r>
                  <w:rPr>
                    <w:rFonts w:ascii="Arial Narrow" w:eastAsia="Arial Narrow" w:hAnsi="Arial Narrow" w:cs="Arial Narrow"/>
                    <w:sz w:val="24"/>
                    <w:szCs w:val="24"/>
                  </w:rPr>
                  <w:t xml:space="preserve"> Los predios identificados en alto riesgo no mitigable, serán declarados, conforme a la normatividad vigente, como suelo de protección y zonas de riesgo no mitigable y esa información será tenida en cuenta en todos los instrumentos de planificación territorial. Para garantizar que estas áreas no sean nuevamente ocupadas por la población desplazada u otras comunidades, se crearán estrategias o programas de control y seguimiento a obras de públicas y otras intervenciones en el territorio.</w:t>
                </w:r>
              </w:p>
              <w:p w:rsidR="00DD3391" w:rsidRDefault="00DD3391">
                <w:pPr>
                  <w:widowControl w:val="0"/>
                  <w:shd w:val="clear" w:color="auto" w:fill="FFFFFF"/>
                  <w:spacing w:before="240" w:after="240"/>
                  <w:jc w:val="both"/>
                  <w:rPr>
                    <w:rFonts w:ascii="Arial Narrow" w:eastAsia="Arial Narrow" w:hAnsi="Arial Narrow" w:cs="Arial Narrow"/>
                    <w:b/>
                    <w:sz w:val="24"/>
                    <w:szCs w:val="24"/>
                  </w:rPr>
                </w:pPr>
              </w:p>
            </w:tc>
            <w:tc>
              <w:tcPr>
                <w:tcW w:w="3120" w:type="dxa"/>
                <w:shd w:val="clear" w:color="auto" w:fill="auto"/>
                <w:tcMar>
                  <w:top w:w="100" w:type="dxa"/>
                  <w:left w:w="100" w:type="dxa"/>
                  <w:bottom w:w="100" w:type="dxa"/>
                  <w:right w:w="100" w:type="dxa"/>
                </w:tcMar>
              </w:tcPr>
              <w:p w:rsidR="00DD3391" w:rsidRDefault="00CA2042">
                <w:pPr>
                  <w:widowControl w:val="0"/>
                  <w:shd w:val="clear" w:color="auto" w:fill="FFFFFF"/>
                  <w:spacing w:after="200"/>
                  <w:jc w:val="both"/>
                  <w:rPr>
                    <w:rFonts w:ascii="Arial Narrow" w:eastAsia="Arial Narrow" w:hAnsi="Arial Narrow" w:cs="Arial Narrow"/>
                    <w:b/>
                    <w:sz w:val="24"/>
                    <w:szCs w:val="24"/>
                    <w:u w:val="single"/>
                  </w:rPr>
                </w:pPr>
                <w:r>
                  <w:rPr>
                    <w:rFonts w:ascii="Arial Narrow" w:eastAsia="Arial Narrow" w:hAnsi="Arial Narrow" w:cs="Arial Narrow"/>
                    <w:b/>
                    <w:sz w:val="24"/>
                    <w:szCs w:val="24"/>
                  </w:rPr>
                  <w:lastRenderedPageBreak/>
                  <w:t>Artículo 9. Obligaciones posteriores al desplazamiento: regreso, reasentamiento y reintegración</w:t>
                </w:r>
                <w:r>
                  <w:rPr>
                    <w:rFonts w:ascii="Arial Narrow" w:eastAsia="Arial Narrow" w:hAnsi="Arial Narrow" w:cs="Arial Narrow"/>
                    <w:sz w:val="24"/>
                    <w:szCs w:val="24"/>
                  </w:rPr>
                  <w:t xml:space="preserve">. Se garantizará el regreso, reintegración y reasentamiento en zonas libres de amenazas antrópicas o naturales y sin afectar determinantes ambientales, a fin de brindar condiciones de seguridad, garantía de derechos y dignidad para las personas, comunidades y familias ubicadas en zonas de alto riesgo no mitigable y desplazados internos como consecuencia de desastres, cambio climático y degradación ambiental, garantizando soluciones duraderas, integrales y enmarcadas en el enfoque de derechos.   </w:t>
                </w:r>
              </w:p>
              <w:p w:rsidR="00DD3391" w:rsidRDefault="00CA2042">
                <w:pPr>
                  <w:widowControl w:val="0"/>
                  <w:shd w:val="clear" w:color="auto" w:fill="FFFFFF"/>
                  <w:spacing w:after="200"/>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 xml:space="preserve">Parágrafo 1. Se garantizará la consulta y participación activa y efectiva de los desplazados en la formulación y ejecución de las soluciones duraderas e integrales relacionadas con su regreso, reasentamiento y reintegración, adecuados a sus </w:t>
                </w:r>
                <w:r>
                  <w:rPr>
                    <w:rFonts w:ascii="Arial Narrow" w:eastAsia="Arial Narrow" w:hAnsi="Arial Narrow" w:cs="Arial Narrow"/>
                    <w:b/>
                    <w:sz w:val="24"/>
                    <w:szCs w:val="24"/>
                    <w:u w:val="single"/>
                  </w:rPr>
                  <w:lastRenderedPageBreak/>
                  <w:t>realidades sociales y culturales, asegurando la inclusión de sus demandas y perspectivas.</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Parágrafo</w:t>
                </w:r>
                <w:r>
                  <w:rPr>
                    <w:rFonts w:ascii="Georgia" w:eastAsia="Georgia" w:hAnsi="Georgia" w:cs="Georgia"/>
                    <w:b/>
                    <w:sz w:val="24"/>
                    <w:szCs w:val="24"/>
                  </w:rPr>
                  <w:t xml:space="preserve"> </w:t>
                </w:r>
                <w:r>
                  <w:rPr>
                    <w:rFonts w:ascii="Arial Narrow" w:eastAsia="Arial Narrow" w:hAnsi="Arial Narrow" w:cs="Arial Narrow"/>
                    <w:b/>
                    <w:strike/>
                    <w:sz w:val="24"/>
                    <w:szCs w:val="24"/>
                  </w:rPr>
                  <w:t>1</w:t>
                </w:r>
                <w:r>
                  <w:rPr>
                    <w:rFonts w:ascii="Arial Narrow" w:eastAsia="Arial Narrow" w:hAnsi="Arial Narrow" w:cs="Arial Narrow"/>
                    <w:sz w:val="24"/>
                    <w:szCs w:val="24"/>
                  </w:rPr>
                  <w:t xml:space="preserve"> </w:t>
                </w:r>
                <w:r>
                  <w:rPr>
                    <w:rFonts w:ascii="Arial Narrow" w:eastAsia="Arial Narrow" w:hAnsi="Arial Narrow" w:cs="Arial Narrow"/>
                    <w:b/>
                    <w:sz w:val="24"/>
                    <w:szCs w:val="24"/>
                    <w:u w:val="single"/>
                  </w:rPr>
                  <w:t>2.</w:t>
                </w:r>
                <w:r>
                  <w:rPr>
                    <w:rFonts w:ascii="Arial Narrow" w:eastAsia="Arial Narrow" w:hAnsi="Arial Narrow" w:cs="Arial Narrow"/>
                    <w:sz w:val="24"/>
                    <w:szCs w:val="24"/>
                  </w:rPr>
                  <w:t xml:space="preserve"> </w:t>
                </w:r>
                <w:r>
                  <w:rPr>
                    <w:rFonts w:ascii="Arial Narrow" w:eastAsia="Arial Narrow" w:hAnsi="Arial Narrow" w:cs="Arial Narrow"/>
                    <w:b/>
                    <w:sz w:val="24"/>
                    <w:szCs w:val="24"/>
                  </w:rPr>
                  <w:t>Atención humanitaria</w:t>
                </w:r>
                <w:r>
                  <w:rPr>
                    <w:rFonts w:ascii="Arial Narrow" w:eastAsia="Arial Narrow" w:hAnsi="Arial Narrow" w:cs="Arial Narrow"/>
                    <w:sz w:val="24"/>
                    <w:szCs w:val="24"/>
                  </w:rPr>
                  <w:t>. Se prestará asistencia a la población retornada, reasentada o reintegrada mientras esta no haya recuperado en la medida de lo posible, sus propiedades, bienes y posesiones, garantizando su derecho a la restitución del patrimonio y la vivienda, y de no ser posible esa recuperación y restitución, se concederá una indemnización adecuada o reparación.</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u w:val="single"/>
                  </w:rPr>
                  <w:t xml:space="preserve">Parágrafo 3. Las medidas de reparación integral incluirán no solo la restitución de tierras y bienes, sino también las compensaciones por la pérdida de medios de vida, acceso a servicios básicos, y las afectaciones psicosociales derivadas del desplazamiento. Asimismo, se adoptarán medidas estructurales y territoriales que aseguren la no repetición del desplazamiento, tales como la creación de infraestructuras resilientes, la promoción de actividades económicas sostenibles, y la participación activa de las </w:t>
                </w:r>
                <w:r>
                  <w:rPr>
                    <w:rFonts w:ascii="Arial Narrow" w:eastAsia="Arial Narrow" w:hAnsi="Arial Narrow" w:cs="Arial Narrow"/>
                    <w:b/>
                    <w:sz w:val="24"/>
                    <w:szCs w:val="24"/>
                    <w:u w:val="single"/>
                  </w:rPr>
                  <w:lastRenderedPageBreak/>
                  <w:t>comunidades en la toma de decisiones sobre su territorio.</w:t>
                </w:r>
              </w:p>
              <w:p w:rsidR="00DD3391" w:rsidRDefault="00CA2042">
                <w:pPr>
                  <w:widowControl w:val="0"/>
                  <w:shd w:val="clear" w:color="auto" w:fill="FFFFFF"/>
                  <w:spacing w:after="20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Parágrafo </w:t>
                </w:r>
                <w:r>
                  <w:rPr>
                    <w:rFonts w:ascii="Arial Narrow" w:eastAsia="Arial Narrow" w:hAnsi="Arial Narrow" w:cs="Arial Narrow"/>
                    <w:b/>
                    <w:strike/>
                    <w:sz w:val="24"/>
                    <w:szCs w:val="24"/>
                  </w:rPr>
                  <w:t>2</w:t>
                </w:r>
                <w:r>
                  <w:rPr>
                    <w:rFonts w:ascii="Arial Narrow" w:eastAsia="Arial Narrow" w:hAnsi="Arial Narrow" w:cs="Arial Narrow"/>
                    <w:b/>
                    <w:sz w:val="24"/>
                    <w:szCs w:val="24"/>
                  </w:rPr>
                  <w:t xml:space="preserve"> </w:t>
                </w:r>
                <w:r>
                  <w:rPr>
                    <w:rFonts w:ascii="Arial Narrow" w:eastAsia="Arial Narrow" w:hAnsi="Arial Narrow" w:cs="Arial Narrow"/>
                    <w:b/>
                    <w:sz w:val="24"/>
                    <w:szCs w:val="24"/>
                    <w:u w:val="single"/>
                  </w:rPr>
                  <w:t>4</w:t>
                </w:r>
                <w:r>
                  <w:rPr>
                    <w:rFonts w:ascii="Arial Narrow" w:eastAsia="Arial Narrow" w:hAnsi="Arial Narrow" w:cs="Arial Narrow"/>
                    <w:b/>
                    <w:sz w:val="24"/>
                    <w:szCs w:val="24"/>
                  </w:rPr>
                  <w:t>. Seguimiento y control de Zonas de riesgo no mitigable e instrumentos de planificación territorial.</w:t>
                </w:r>
                <w:r>
                  <w:rPr>
                    <w:rFonts w:ascii="Arial Narrow" w:eastAsia="Arial Narrow" w:hAnsi="Arial Narrow" w:cs="Arial Narrow"/>
                    <w:sz w:val="24"/>
                    <w:szCs w:val="24"/>
                  </w:rPr>
                  <w:t xml:space="preserve"> Los predios identificados en alto riesgo no mitigable, serán declarados, conforme a la normatividad vigente, como suelo de protección y zonas de riesgo no mitigable y esa información será tenida en cuenta en todos los instrumentos de planificación territorial. Para garantizar que estas áreas no sean nuevamente ocupadas por la población desplazada u otras comunidades, se crearán estrategias o programas de control y seguimiento a obras de públicas y otras intervenciones en el territorio </w:t>
                </w:r>
              </w:p>
            </w:tc>
            <w:tc>
              <w:tcPr>
                <w:tcW w:w="3120" w:type="dxa"/>
                <w:shd w:val="clear" w:color="auto" w:fill="auto"/>
                <w:tcMar>
                  <w:top w:w="100" w:type="dxa"/>
                  <w:left w:w="100" w:type="dxa"/>
                  <w:bottom w:w="100" w:type="dxa"/>
                  <w:right w:w="100" w:type="dxa"/>
                </w:tcMar>
              </w:tcPr>
              <w:p w:rsidR="00DD3391" w:rsidRDefault="00CA2042">
                <w:pPr>
                  <w:widowControl w:val="0"/>
                  <w:pBdr>
                    <w:top w:val="nil"/>
                    <w:left w:val="nil"/>
                    <w:bottom w:val="nil"/>
                    <w:right w:val="nil"/>
                    <w:between w:val="nil"/>
                  </w:pBd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De conformidad con las consideraciones dadas por la Corte Constitucional en la sentencia T-123/2024 donde se estipula que para la creación de soluciones duraderas e integrales es necesaria la participación activa de la comunidad garantizando de esta forma la atención de sus demandas y preocupaciones. Además, se considera el hecho de que las medidas de reparación integral no solo se reduce a la restitución de tierras y bienes, sino que engloba otros aspectos como la compensación por la pérdida de los medios de vida, etc. De acuerdo, con las recomendaciones internacionales de reparación de víctimas, con miras a garantizar la no repetición.</w:t>
                </w:r>
              </w:p>
              <w:p w:rsidR="00DD3391" w:rsidRDefault="00CA2042">
                <w:pPr>
                  <w:widowControl w:val="0"/>
                  <w:pBdr>
                    <w:top w:val="nil"/>
                    <w:left w:val="nil"/>
                    <w:bottom w:val="nil"/>
                    <w:right w:val="nil"/>
                    <w:between w:val="nil"/>
                  </w:pBd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Asimismo, ya que se agregan dos nuevos parágrafos, se modifica la numeración de los mismos.  </w:t>
                </w:r>
              </w:p>
              <w:p w:rsidR="00DD3391" w:rsidRDefault="00DD3391">
                <w:pPr>
                  <w:widowControl w:val="0"/>
                  <w:pBdr>
                    <w:top w:val="nil"/>
                    <w:left w:val="nil"/>
                    <w:bottom w:val="nil"/>
                    <w:right w:val="nil"/>
                    <w:between w:val="nil"/>
                  </w:pBdr>
                  <w:spacing w:line="240" w:lineRule="auto"/>
                  <w:jc w:val="both"/>
                  <w:rPr>
                    <w:rFonts w:ascii="Arial Narrow" w:eastAsia="Arial Narrow" w:hAnsi="Arial Narrow" w:cs="Arial Narrow"/>
                    <w:sz w:val="24"/>
                    <w:szCs w:val="24"/>
                  </w:rPr>
                </w:pPr>
              </w:p>
            </w:tc>
          </w:tr>
          <w:tr w:rsidR="00DD3391">
            <w:tc>
              <w:tcPr>
                <w:tcW w:w="3120" w:type="dxa"/>
                <w:shd w:val="clear" w:color="auto" w:fill="auto"/>
                <w:tcMar>
                  <w:top w:w="100" w:type="dxa"/>
                  <w:left w:w="100" w:type="dxa"/>
                  <w:bottom w:w="100" w:type="dxa"/>
                  <w:right w:w="100" w:type="dxa"/>
                </w:tcMar>
              </w:tcPr>
              <w:p w:rsidR="00DD3391" w:rsidRDefault="00DD3391">
                <w:pPr>
                  <w:widowControl w:val="0"/>
                  <w:shd w:val="clear" w:color="auto" w:fill="FFFFFF"/>
                  <w:spacing w:before="240" w:after="240"/>
                  <w:jc w:val="both"/>
                  <w:rPr>
                    <w:rFonts w:ascii="Arial Narrow" w:eastAsia="Arial Narrow" w:hAnsi="Arial Narrow" w:cs="Arial Narrow"/>
                    <w:b/>
                    <w:sz w:val="24"/>
                    <w:szCs w:val="24"/>
                  </w:rPr>
                </w:pPr>
              </w:p>
            </w:tc>
            <w:tc>
              <w:tcPr>
                <w:tcW w:w="3120" w:type="dxa"/>
                <w:shd w:val="clear" w:color="auto" w:fill="auto"/>
                <w:tcMar>
                  <w:top w:w="100" w:type="dxa"/>
                  <w:left w:w="100" w:type="dxa"/>
                  <w:bottom w:w="100" w:type="dxa"/>
                  <w:right w:w="100" w:type="dxa"/>
                </w:tcMar>
              </w:tcPr>
              <w:p w:rsidR="00DD3391" w:rsidRDefault="00CA2042">
                <w:pPr>
                  <w:widowControl w:val="0"/>
                  <w:shd w:val="clear" w:color="auto" w:fill="FFFFFF"/>
                  <w:spacing w:after="200"/>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 xml:space="preserve">Artículo nuevo. El Gobierno Nacional en articulación con las entidades territoriales y la Unidad Nacional de Protección adoptarán medidas y acciones integrales de protección y apoyo para los líderes y lideresas comunitarias,así como para los defensores y defensoras del medioambiente, que enfrenten riesgos derivados de su labor en la </w:t>
                </w:r>
                <w:r>
                  <w:rPr>
                    <w:rFonts w:ascii="Arial Narrow" w:eastAsia="Arial Narrow" w:hAnsi="Arial Narrow" w:cs="Arial Narrow"/>
                    <w:b/>
                    <w:sz w:val="24"/>
                    <w:szCs w:val="24"/>
                    <w:u w:val="single"/>
                  </w:rPr>
                  <w:lastRenderedPageBreak/>
                  <w:t>defensa de los derechos humanos de las personas desplazadas por factores ambientales y en la conservación del medioambiente.</w:t>
                </w:r>
              </w:p>
            </w:tc>
            <w:tc>
              <w:tcPr>
                <w:tcW w:w="3120" w:type="dxa"/>
                <w:shd w:val="clear" w:color="auto" w:fill="auto"/>
                <w:tcMar>
                  <w:top w:w="100" w:type="dxa"/>
                  <w:left w:w="100" w:type="dxa"/>
                  <w:bottom w:w="100" w:type="dxa"/>
                  <w:right w:w="100" w:type="dxa"/>
                </w:tcMar>
              </w:tcPr>
              <w:p w:rsidR="00DD3391" w:rsidRDefault="00CA2042">
                <w:pPr>
                  <w:widowControl w:val="0"/>
                  <w:pBdr>
                    <w:top w:val="nil"/>
                    <w:left w:val="nil"/>
                    <w:bottom w:val="nil"/>
                    <w:right w:val="nil"/>
                    <w:between w:val="nil"/>
                  </w:pBd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Ante la alarmante situación de inseguridad y falta de protección de los líderes ambientales y comunitarios en el país, quienes desempeñan un papel crucial en la protección del medio ambiente y en la defensa de los derechos humanos, y que se constituyen como una de las principales víctimas del desplazamiento por factores ambientales, debido a las amenazas que enfrentan por su labor, se incorpora este nuevo artículo en consonancia con el </w:t>
                </w:r>
                <w:r>
                  <w:rPr>
                    <w:rFonts w:ascii="Arial Narrow" w:eastAsia="Arial Narrow" w:hAnsi="Arial Narrow" w:cs="Arial Narrow"/>
                    <w:sz w:val="24"/>
                    <w:szCs w:val="24"/>
                  </w:rPr>
                  <w:lastRenderedPageBreak/>
                  <w:t>factor de protección contemplado en el objeto del proyecto de ley.</w:t>
                </w:r>
              </w:p>
            </w:tc>
          </w:tr>
          <w:tr w:rsidR="00DD3391">
            <w:tc>
              <w:tcPr>
                <w:tcW w:w="3120" w:type="dxa"/>
                <w:shd w:val="clear" w:color="auto" w:fill="auto"/>
                <w:tcMar>
                  <w:top w:w="100" w:type="dxa"/>
                  <w:left w:w="100" w:type="dxa"/>
                  <w:bottom w:w="100" w:type="dxa"/>
                  <w:right w:w="100" w:type="dxa"/>
                </w:tcMar>
              </w:tcPr>
              <w:p w:rsidR="00DD3391" w:rsidRDefault="00DD3391">
                <w:pPr>
                  <w:widowControl w:val="0"/>
                  <w:shd w:val="clear" w:color="auto" w:fill="FFFFFF"/>
                  <w:spacing w:before="240" w:after="240"/>
                  <w:jc w:val="both"/>
                  <w:rPr>
                    <w:rFonts w:ascii="Arial Narrow" w:eastAsia="Arial Narrow" w:hAnsi="Arial Narrow" w:cs="Arial Narrow"/>
                    <w:b/>
                    <w:sz w:val="24"/>
                    <w:szCs w:val="24"/>
                  </w:rPr>
                </w:pPr>
              </w:p>
            </w:tc>
            <w:tc>
              <w:tcPr>
                <w:tcW w:w="3120" w:type="dxa"/>
                <w:shd w:val="clear" w:color="auto" w:fill="auto"/>
                <w:tcMar>
                  <w:top w:w="100" w:type="dxa"/>
                  <w:left w:w="100" w:type="dxa"/>
                  <w:bottom w:w="100" w:type="dxa"/>
                  <w:right w:w="100" w:type="dxa"/>
                </w:tcMar>
              </w:tcPr>
              <w:p w:rsidR="00DD3391" w:rsidRDefault="00CA2042">
                <w:pPr>
                  <w:widowControl w:val="0"/>
                  <w:shd w:val="clear" w:color="auto" w:fill="FFFFFF"/>
                  <w:spacing w:after="200"/>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Artículo nuevo. Seguimiento. La Procuraduría  y  la Contraloría en  articulación con la Unidad de Gestión del Riesgo de Desastres, y el Ministerio del Medio Ambiente realizarán el seguimiento y monitoreo constante a la implementación de la presente ley, con miras a asegurar la efectividad de las medidas adoptadas y la protección de los derechos de las personas desplazadas por factores ambientales.</w:t>
                </w:r>
              </w:p>
            </w:tc>
            <w:tc>
              <w:tcPr>
                <w:tcW w:w="3120" w:type="dxa"/>
                <w:shd w:val="clear" w:color="auto" w:fill="auto"/>
                <w:tcMar>
                  <w:top w:w="100" w:type="dxa"/>
                  <w:left w:w="100" w:type="dxa"/>
                  <w:bottom w:w="100" w:type="dxa"/>
                  <w:right w:w="100" w:type="dxa"/>
                </w:tcMar>
              </w:tcPr>
              <w:p w:rsidR="00DD3391" w:rsidRDefault="00CA2042">
                <w:pPr>
                  <w:widowControl w:val="0"/>
                  <w:pBdr>
                    <w:top w:val="nil"/>
                    <w:left w:val="nil"/>
                    <w:bottom w:val="nil"/>
                    <w:right w:val="nil"/>
                    <w:between w:val="nil"/>
                  </w:pBdr>
                  <w:spacing w:line="240" w:lineRule="auto"/>
                  <w:jc w:val="both"/>
                  <w:rPr>
                    <w:rFonts w:ascii="Arial Narrow" w:eastAsia="Arial Narrow" w:hAnsi="Arial Narrow" w:cs="Arial Narrow"/>
                    <w:b/>
                    <w:sz w:val="24"/>
                    <w:szCs w:val="24"/>
                  </w:rPr>
                </w:pPr>
                <w:r>
                  <w:rPr>
                    <w:rFonts w:ascii="Arial Narrow" w:eastAsia="Arial Narrow" w:hAnsi="Arial Narrow" w:cs="Arial Narrow"/>
                    <w:sz w:val="24"/>
                    <w:szCs w:val="24"/>
                  </w:rPr>
                  <w:t>Con miras a garantizar la correcta implementación y eficacia de las medidas de prevención,adaptación, protección y atención en el desplazamiento por factores ambientales, se agrega el elemento de seguimiento y monitoreo.</w:t>
                </w:r>
              </w:p>
            </w:tc>
          </w:tr>
          <w:tr w:rsidR="00DD3391">
            <w:tc>
              <w:tcPr>
                <w:tcW w:w="3120" w:type="dxa"/>
                <w:shd w:val="clear" w:color="auto" w:fill="auto"/>
                <w:tcMar>
                  <w:top w:w="100" w:type="dxa"/>
                  <w:left w:w="100" w:type="dxa"/>
                  <w:bottom w:w="100" w:type="dxa"/>
                  <w:right w:w="100" w:type="dxa"/>
                </w:tcMar>
              </w:tcPr>
              <w:p w:rsidR="00DD3391" w:rsidRDefault="00DD3391">
                <w:pPr>
                  <w:widowControl w:val="0"/>
                  <w:shd w:val="clear" w:color="auto" w:fill="FFFFFF"/>
                  <w:spacing w:before="240" w:after="240"/>
                  <w:jc w:val="both"/>
                  <w:rPr>
                    <w:rFonts w:ascii="Arial Narrow" w:eastAsia="Arial Narrow" w:hAnsi="Arial Narrow" w:cs="Arial Narrow"/>
                    <w:b/>
                    <w:sz w:val="24"/>
                    <w:szCs w:val="24"/>
                  </w:rPr>
                </w:pPr>
              </w:p>
            </w:tc>
            <w:tc>
              <w:tcPr>
                <w:tcW w:w="3120" w:type="dxa"/>
                <w:shd w:val="clear" w:color="auto" w:fill="auto"/>
                <w:tcMar>
                  <w:top w:w="100" w:type="dxa"/>
                  <w:left w:w="100" w:type="dxa"/>
                  <w:bottom w:w="100" w:type="dxa"/>
                  <w:right w:w="100" w:type="dxa"/>
                </w:tcMar>
              </w:tcPr>
              <w:p w:rsidR="00DD3391" w:rsidRDefault="00CA2042">
                <w:pPr>
                  <w:widowControl w:val="0"/>
                  <w:shd w:val="clear" w:color="auto" w:fill="FFFFFF"/>
                  <w:spacing w:after="200"/>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 xml:space="preserve">Artículo nuevo. Cooperación internacional. El Gobierno Nacional en cabeza del Ministerio de Relaciones Exteriores promoverá la cooperación y colaboración con organizaciones internacionales y otros países para articular esfuerzos, intercambiar  conocimientos y promover acuerdos respecto al desplazamiento por factores ambientales, buscando su </w:t>
                </w:r>
                <w:r>
                  <w:rPr>
                    <w:rFonts w:ascii="Arial Narrow" w:eastAsia="Arial Narrow" w:hAnsi="Arial Narrow" w:cs="Arial Narrow"/>
                    <w:b/>
                    <w:sz w:val="24"/>
                    <w:szCs w:val="24"/>
                    <w:u w:val="single"/>
                  </w:rPr>
                  <w:lastRenderedPageBreak/>
                  <w:t>mitigación y garantía de los derechos de los desplazados.</w:t>
                </w:r>
              </w:p>
            </w:tc>
            <w:tc>
              <w:tcPr>
                <w:tcW w:w="3120" w:type="dxa"/>
                <w:shd w:val="clear" w:color="auto" w:fill="auto"/>
                <w:tcMar>
                  <w:top w:w="100" w:type="dxa"/>
                  <w:left w:w="100" w:type="dxa"/>
                  <w:bottom w:w="100" w:type="dxa"/>
                  <w:right w:w="100" w:type="dxa"/>
                </w:tcMar>
              </w:tcPr>
              <w:p w:rsidR="00DD3391" w:rsidRDefault="00CA2042">
                <w:pPr>
                  <w:widowControl w:val="0"/>
                  <w:pBdr>
                    <w:top w:val="nil"/>
                    <w:left w:val="nil"/>
                    <w:bottom w:val="nil"/>
                    <w:right w:val="nil"/>
                    <w:between w:val="nil"/>
                  </w:pBd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Se agrega el aspecto de cooperación internacional, al comprender que el cambio climático y el deterioro ambiental no es un fenómeno aislado, sino que sus consecuencias son globales, por lo cual es necesaria la articulación de esfuerzos e intercambio de  conocimientos para fortalecer la atención de las víctimas de desplazamiento por factores ambientales.</w:t>
                </w:r>
              </w:p>
            </w:tc>
          </w:tr>
          <w:tr w:rsidR="00DD3391">
            <w:tc>
              <w:tcPr>
                <w:tcW w:w="3120" w:type="dxa"/>
                <w:shd w:val="clear" w:color="auto" w:fill="auto"/>
                <w:tcMar>
                  <w:top w:w="100" w:type="dxa"/>
                  <w:left w:w="100" w:type="dxa"/>
                  <w:bottom w:w="100" w:type="dxa"/>
                  <w:right w:w="100" w:type="dxa"/>
                </w:tcMar>
              </w:tcPr>
              <w:p w:rsidR="00DD3391" w:rsidRDefault="00CA2042">
                <w:pPr>
                  <w:widowControl w:val="0"/>
                  <w:shd w:val="clear" w:color="auto" w:fill="FFFFFF"/>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Artículo 13. Vigencia.  </w:t>
                </w:r>
                <w:r>
                  <w:rPr>
                    <w:rFonts w:ascii="Arial Narrow" w:eastAsia="Arial Narrow" w:hAnsi="Arial Narrow" w:cs="Arial Narrow"/>
                    <w:sz w:val="24"/>
                    <w:szCs w:val="24"/>
                  </w:rPr>
                  <w:t>La presente ley rige a partir de su promulgación y deroga las disposiciones que le sean contrarias.</w:t>
                </w:r>
              </w:p>
            </w:tc>
            <w:tc>
              <w:tcPr>
                <w:tcW w:w="3120" w:type="dxa"/>
                <w:shd w:val="clear" w:color="auto" w:fill="auto"/>
                <w:tcMar>
                  <w:top w:w="100" w:type="dxa"/>
                  <w:left w:w="100" w:type="dxa"/>
                  <w:bottom w:w="100" w:type="dxa"/>
                  <w:right w:w="100" w:type="dxa"/>
                </w:tcMar>
              </w:tcPr>
              <w:p w:rsidR="00DD3391" w:rsidRDefault="00CA2042">
                <w:pPr>
                  <w:widowControl w:val="0"/>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w:t>
                </w:r>
                <w:r>
                  <w:rPr>
                    <w:rFonts w:ascii="Arial Narrow" w:eastAsia="Arial Narrow" w:hAnsi="Arial Narrow" w:cs="Arial Narrow"/>
                    <w:b/>
                    <w:strike/>
                    <w:sz w:val="24"/>
                    <w:szCs w:val="24"/>
                  </w:rPr>
                  <w:t>13</w:t>
                </w:r>
                <w:r>
                  <w:rPr>
                    <w:rFonts w:ascii="Arial Narrow" w:eastAsia="Arial Narrow" w:hAnsi="Arial Narrow" w:cs="Arial Narrow"/>
                    <w:b/>
                    <w:sz w:val="24"/>
                    <w:szCs w:val="24"/>
                  </w:rPr>
                  <w:t xml:space="preserve"> </w:t>
                </w:r>
                <w:r>
                  <w:rPr>
                    <w:rFonts w:ascii="Arial Narrow" w:eastAsia="Arial Narrow" w:hAnsi="Arial Narrow" w:cs="Arial Narrow"/>
                    <w:b/>
                    <w:sz w:val="24"/>
                    <w:szCs w:val="24"/>
                    <w:u w:val="single"/>
                  </w:rPr>
                  <w:t>16.</w:t>
                </w:r>
                <w:r>
                  <w:rPr>
                    <w:rFonts w:ascii="Arial Narrow" w:eastAsia="Arial Narrow" w:hAnsi="Arial Narrow" w:cs="Arial Narrow"/>
                    <w:b/>
                    <w:sz w:val="24"/>
                    <w:szCs w:val="24"/>
                  </w:rPr>
                  <w:t xml:space="preserve"> Vigencia.  </w:t>
                </w:r>
                <w:r>
                  <w:rPr>
                    <w:rFonts w:ascii="Arial Narrow" w:eastAsia="Arial Narrow" w:hAnsi="Arial Narrow" w:cs="Arial Narrow"/>
                    <w:sz w:val="24"/>
                    <w:szCs w:val="24"/>
                  </w:rPr>
                  <w:t>La presente ley rige a partir de su promulgación y deroga las disposiciones que le sean contrarias.</w:t>
                </w:r>
              </w:p>
              <w:p w:rsidR="00DD3391" w:rsidRDefault="00DD3391">
                <w:pPr>
                  <w:widowControl w:val="0"/>
                  <w:shd w:val="clear" w:color="auto" w:fill="FFFFFF"/>
                  <w:spacing w:after="200"/>
                  <w:jc w:val="both"/>
                  <w:rPr>
                    <w:rFonts w:ascii="Arial Narrow" w:eastAsia="Arial Narrow" w:hAnsi="Arial Narrow" w:cs="Arial Narrow"/>
                    <w:b/>
                    <w:sz w:val="24"/>
                    <w:szCs w:val="24"/>
                    <w:u w:val="single"/>
                  </w:rPr>
                </w:pPr>
              </w:p>
            </w:tc>
            <w:tc>
              <w:tcPr>
                <w:tcW w:w="3120" w:type="dxa"/>
                <w:shd w:val="clear" w:color="auto" w:fill="auto"/>
                <w:tcMar>
                  <w:top w:w="100" w:type="dxa"/>
                  <w:left w:w="100" w:type="dxa"/>
                  <w:bottom w:w="100" w:type="dxa"/>
                  <w:right w:w="100" w:type="dxa"/>
                </w:tcMar>
              </w:tcPr>
              <w:p w:rsidR="00DD3391" w:rsidRDefault="00CA2042">
                <w:pPr>
                  <w:widowControl w:val="0"/>
                  <w:pBdr>
                    <w:top w:val="nil"/>
                    <w:left w:val="nil"/>
                    <w:bottom w:val="nil"/>
                    <w:right w:val="nil"/>
                    <w:between w:val="nil"/>
                  </w:pBd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Se corrige la numeración, debido a la creación de los artículos nuevos. </w:t>
                </w:r>
              </w:p>
            </w:tc>
          </w:tr>
        </w:tbl>
      </w:sdtContent>
    </w:sdt>
    <w:p w:rsidR="00DD3391" w:rsidRDefault="00DD3391">
      <w:pPr>
        <w:shd w:val="clear" w:color="auto" w:fill="FFFFFF"/>
        <w:spacing w:after="200"/>
        <w:jc w:val="both"/>
        <w:rPr>
          <w:rFonts w:ascii="Arial Narrow" w:eastAsia="Arial Narrow" w:hAnsi="Arial Narrow" w:cs="Arial Narrow"/>
          <w:b/>
          <w:sz w:val="24"/>
          <w:szCs w:val="24"/>
        </w:rPr>
      </w:pPr>
    </w:p>
    <w:p w:rsidR="00DD3391" w:rsidRDefault="00CA2042">
      <w:pPr>
        <w:widowControl w:val="0"/>
        <w:rPr>
          <w:rFonts w:ascii="Arial Narrow" w:eastAsia="Arial Narrow" w:hAnsi="Arial Narrow" w:cs="Arial Narrow"/>
          <w:b/>
        </w:rPr>
      </w:pPr>
      <w:r>
        <w:rPr>
          <w:rFonts w:ascii="Arial Narrow" w:eastAsia="Arial Narrow" w:hAnsi="Arial Narrow" w:cs="Arial Narrow"/>
          <w:b/>
        </w:rPr>
        <w:t>10. PROPOSICIÓN.</w:t>
      </w:r>
    </w:p>
    <w:p w:rsidR="00DD3391" w:rsidRDefault="00CA2042">
      <w:pPr>
        <w:widowControl w:val="0"/>
        <w:jc w:val="both"/>
        <w:rPr>
          <w:rFonts w:ascii="Arial Narrow" w:eastAsia="Arial Narrow" w:hAnsi="Arial Narrow" w:cs="Arial Narrow"/>
          <w:sz w:val="24"/>
          <w:szCs w:val="24"/>
        </w:rPr>
      </w:pPr>
      <w:r>
        <w:rPr>
          <w:rFonts w:ascii="Arial Narrow" w:eastAsia="Arial Narrow" w:hAnsi="Arial Narrow" w:cs="Arial Narrow"/>
        </w:rPr>
        <w:t>Considerando los argumentos anteriormente expuestos, presento ponencia positiva y solicito a la Comisión Primera de la Cámara de Representantes dar primer debate al Proyecto de Ley 415 del 2024 Cámara</w:t>
      </w:r>
      <w:r>
        <w:rPr>
          <w:rFonts w:ascii="Arial Narrow" w:eastAsia="Arial Narrow" w:hAnsi="Arial Narrow" w:cs="Arial Narrow"/>
          <w:b/>
        </w:rPr>
        <w:t xml:space="preserve"> </w:t>
      </w:r>
      <w:r>
        <w:rPr>
          <w:rFonts w:ascii="Arial Narrow" w:eastAsia="Arial Narrow" w:hAnsi="Arial Narrow" w:cs="Arial Narrow"/>
          <w:sz w:val="24"/>
          <w:szCs w:val="24"/>
        </w:rPr>
        <w:t>“Por medio de la cual se establece un Marco de Protección para las personas desplazadas por factores ambientales, se les reconoce como Sujetos de especial protección y se dictan otras disposiciones” según el texto propuesto.</w:t>
      </w:r>
    </w:p>
    <w:p w:rsidR="00DD3391" w:rsidRDefault="00DD3391">
      <w:pPr>
        <w:widowControl w:val="0"/>
        <w:jc w:val="both"/>
        <w:rPr>
          <w:rFonts w:ascii="Arial Narrow" w:eastAsia="Arial Narrow" w:hAnsi="Arial Narrow" w:cs="Arial Narrow"/>
          <w:sz w:val="24"/>
          <w:szCs w:val="24"/>
        </w:rPr>
      </w:pPr>
    </w:p>
    <w:p w:rsidR="00DD3391" w:rsidRDefault="00CA2042">
      <w:pPr>
        <w:widowControl w:val="0"/>
        <w:jc w:val="both"/>
        <w:rPr>
          <w:rFonts w:ascii="Arial Narrow" w:eastAsia="Arial Narrow" w:hAnsi="Arial Narrow" w:cs="Arial Narrow"/>
          <w:sz w:val="24"/>
          <w:szCs w:val="24"/>
        </w:rPr>
      </w:pPr>
      <w:r>
        <w:rPr>
          <w:rFonts w:ascii="Arial Narrow" w:eastAsia="Arial Narrow" w:hAnsi="Arial Narrow" w:cs="Arial Narrow"/>
          <w:sz w:val="24"/>
          <w:szCs w:val="24"/>
        </w:rPr>
        <w:t>Del congresista,</w:t>
      </w:r>
    </w:p>
    <w:p w:rsidR="00DD3391" w:rsidRDefault="00DD3391">
      <w:pPr>
        <w:widowControl w:val="0"/>
        <w:jc w:val="both"/>
        <w:rPr>
          <w:rFonts w:ascii="Arial Narrow" w:eastAsia="Arial Narrow" w:hAnsi="Arial Narrow" w:cs="Arial Narrow"/>
          <w:sz w:val="24"/>
          <w:szCs w:val="24"/>
        </w:rPr>
      </w:pPr>
    </w:p>
    <w:p w:rsidR="00DD3391" w:rsidRDefault="00DD3391">
      <w:pPr>
        <w:widowControl w:val="0"/>
        <w:jc w:val="both"/>
        <w:rPr>
          <w:rFonts w:ascii="Arial Narrow" w:eastAsia="Arial Narrow" w:hAnsi="Arial Narrow" w:cs="Arial Narrow"/>
          <w:sz w:val="24"/>
          <w:szCs w:val="24"/>
        </w:rPr>
      </w:pPr>
    </w:p>
    <w:p w:rsidR="00DD3391" w:rsidRDefault="00DD3391">
      <w:pPr>
        <w:widowControl w:val="0"/>
        <w:jc w:val="both"/>
        <w:rPr>
          <w:rFonts w:ascii="Arial Narrow" w:eastAsia="Arial Narrow" w:hAnsi="Arial Narrow" w:cs="Arial Narrow"/>
          <w:sz w:val="24"/>
          <w:szCs w:val="24"/>
        </w:rPr>
      </w:pPr>
    </w:p>
    <w:p w:rsidR="00DD3391" w:rsidRDefault="00DD3391">
      <w:pPr>
        <w:widowControl w:val="0"/>
        <w:jc w:val="both"/>
        <w:rPr>
          <w:rFonts w:ascii="Arial Narrow" w:eastAsia="Arial Narrow" w:hAnsi="Arial Narrow" w:cs="Arial Narrow"/>
          <w:sz w:val="24"/>
          <w:szCs w:val="24"/>
        </w:rPr>
      </w:pPr>
    </w:p>
    <w:p w:rsidR="00DD3391" w:rsidRDefault="00CA2042">
      <w:pPr>
        <w:shd w:val="clear" w:color="auto" w:fill="FFFFFF"/>
        <w:spacing w:after="160"/>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w:t>
      </w:r>
    </w:p>
    <w:p w:rsidR="00DD3391" w:rsidRDefault="00CA2042">
      <w:pPr>
        <w:shd w:val="clear" w:color="auto" w:fill="FFFFFF"/>
        <w:jc w:val="both"/>
        <w:rPr>
          <w:rFonts w:ascii="Arial Narrow" w:eastAsia="Arial Narrow" w:hAnsi="Arial Narrow" w:cs="Arial Narrow"/>
          <w:color w:val="222222"/>
          <w:sz w:val="24"/>
          <w:szCs w:val="24"/>
        </w:rPr>
      </w:pPr>
      <w:r>
        <w:rPr>
          <w:rFonts w:ascii="Arial Narrow" w:eastAsia="Arial Narrow" w:hAnsi="Arial Narrow" w:cs="Arial Narrow"/>
          <w:b/>
          <w:color w:val="222222"/>
          <w:sz w:val="24"/>
          <w:szCs w:val="24"/>
        </w:rPr>
        <w:t>PEDRO JOSÉ SUÁREZ VACCA</w:t>
      </w:r>
      <w:r>
        <w:rPr>
          <w:rFonts w:ascii="Arial Narrow" w:eastAsia="Arial Narrow" w:hAnsi="Arial Narrow" w:cs="Arial Narrow"/>
          <w:color w:val="222222"/>
          <w:sz w:val="24"/>
          <w:szCs w:val="24"/>
        </w:rPr>
        <w:t xml:space="preserve"> </w:t>
      </w:r>
    </w:p>
    <w:p w:rsidR="00D70830" w:rsidRDefault="00CA2042">
      <w:pPr>
        <w:shd w:val="clear" w:color="auto" w:fill="FFFFFF"/>
        <w:jc w:val="both"/>
        <w:rPr>
          <w:rFonts w:ascii="Arial Narrow" w:eastAsia="Arial Narrow" w:hAnsi="Arial Narrow" w:cs="Arial Narrow"/>
          <w:color w:val="222222"/>
          <w:sz w:val="24"/>
          <w:szCs w:val="24"/>
        </w:rPr>
      </w:pPr>
      <w:r>
        <w:rPr>
          <w:rFonts w:ascii="Arial Narrow" w:eastAsia="Arial Narrow" w:hAnsi="Arial Narrow" w:cs="Arial Narrow"/>
          <w:color w:val="222222"/>
          <w:sz w:val="24"/>
          <w:szCs w:val="24"/>
        </w:rPr>
        <w:t>Ponente Único.</w:t>
      </w:r>
    </w:p>
    <w:p w:rsidR="00D70830" w:rsidRDefault="00D70830">
      <w:pPr>
        <w:shd w:val="clear" w:color="auto" w:fill="FFFFFF"/>
        <w:jc w:val="both"/>
        <w:rPr>
          <w:rFonts w:ascii="Arial Narrow" w:eastAsia="Arial Narrow" w:hAnsi="Arial Narrow" w:cs="Arial Narrow"/>
          <w:color w:val="222222"/>
          <w:sz w:val="24"/>
          <w:szCs w:val="24"/>
        </w:rPr>
      </w:pPr>
    </w:p>
    <w:p w:rsidR="00D70830" w:rsidRDefault="00D70830">
      <w:pPr>
        <w:shd w:val="clear" w:color="auto" w:fill="FFFFFF"/>
        <w:jc w:val="both"/>
        <w:rPr>
          <w:rFonts w:ascii="Arial Narrow" w:eastAsia="Arial Narrow" w:hAnsi="Arial Narrow" w:cs="Arial Narrow"/>
          <w:color w:val="222222"/>
          <w:sz w:val="24"/>
          <w:szCs w:val="24"/>
        </w:rPr>
      </w:pPr>
    </w:p>
    <w:p w:rsidR="00D70830" w:rsidRDefault="00D70830">
      <w:pPr>
        <w:shd w:val="clear" w:color="auto" w:fill="FFFFFF"/>
        <w:jc w:val="both"/>
        <w:rPr>
          <w:rFonts w:ascii="Arial Narrow" w:eastAsia="Arial Narrow" w:hAnsi="Arial Narrow" w:cs="Arial Narrow"/>
          <w:color w:val="222222"/>
          <w:sz w:val="24"/>
          <w:szCs w:val="24"/>
        </w:rPr>
      </w:pPr>
    </w:p>
    <w:p w:rsidR="00D70830" w:rsidRDefault="00D70830">
      <w:pPr>
        <w:shd w:val="clear" w:color="auto" w:fill="FFFFFF"/>
        <w:jc w:val="both"/>
        <w:rPr>
          <w:rFonts w:ascii="Arial Narrow" w:eastAsia="Arial Narrow" w:hAnsi="Arial Narrow" w:cs="Arial Narrow"/>
          <w:color w:val="222222"/>
          <w:sz w:val="24"/>
          <w:szCs w:val="24"/>
        </w:rPr>
      </w:pPr>
    </w:p>
    <w:p w:rsidR="00D70830" w:rsidRDefault="00D70830">
      <w:pPr>
        <w:shd w:val="clear" w:color="auto" w:fill="FFFFFF"/>
        <w:jc w:val="both"/>
        <w:rPr>
          <w:rFonts w:ascii="Arial Narrow" w:eastAsia="Arial Narrow" w:hAnsi="Arial Narrow" w:cs="Arial Narrow"/>
          <w:color w:val="222222"/>
          <w:sz w:val="24"/>
          <w:szCs w:val="24"/>
        </w:rPr>
      </w:pPr>
    </w:p>
    <w:p w:rsidR="00D70830" w:rsidRDefault="00D70830">
      <w:pPr>
        <w:shd w:val="clear" w:color="auto" w:fill="FFFFFF"/>
        <w:jc w:val="both"/>
        <w:rPr>
          <w:rFonts w:ascii="Arial Narrow" w:eastAsia="Arial Narrow" w:hAnsi="Arial Narrow" w:cs="Arial Narrow"/>
          <w:color w:val="222222"/>
          <w:sz w:val="24"/>
          <w:szCs w:val="24"/>
        </w:rPr>
      </w:pPr>
    </w:p>
    <w:p w:rsidR="00D70830" w:rsidRDefault="00D70830">
      <w:pPr>
        <w:shd w:val="clear" w:color="auto" w:fill="FFFFFF"/>
        <w:jc w:val="both"/>
        <w:rPr>
          <w:rFonts w:ascii="Arial Narrow" w:eastAsia="Arial Narrow" w:hAnsi="Arial Narrow" w:cs="Arial Narrow"/>
          <w:color w:val="222222"/>
          <w:sz w:val="24"/>
          <w:szCs w:val="24"/>
        </w:rPr>
      </w:pPr>
    </w:p>
    <w:p w:rsidR="00D70830" w:rsidRDefault="00D70830">
      <w:pPr>
        <w:shd w:val="clear" w:color="auto" w:fill="FFFFFF"/>
        <w:jc w:val="both"/>
        <w:rPr>
          <w:rFonts w:ascii="Arial Narrow" w:eastAsia="Arial Narrow" w:hAnsi="Arial Narrow" w:cs="Arial Narrow"/>
          <w:color w:val="222222"/>
          <w:sz w:val="24"/>
          <w:szCs w:val="24"/>
        </w:rPr>
      </w:pPr>
    </w:p>
    <w:p w:rsidR="00D70830" w:rsidRDefault="00D70830">
      <w:pPr>
        <w:shd w:val="clear" w:color="auto" w:fill="FFFFFF"/>
        <w:jc w:val="both"/>
        <w:rPr>
          <w:rFonts w:ascii="Arial Narrow" w:eastAsia="Arial Narrow" w:hAnsi="Arial Narrow" w:cs="Arial Narrow"/>
          <w:color w:val="222222"/>
          <w:sz w:val="24"/>
          <w:szCs w:val="24"/>
        </w:rPr>
      </w:pPr>
    </w:p>
    <w:p w:rsidR="00DD3391" w:rsidRDefault="00CA2042">
      <w:pPr>
        <w:shd w:val="clear" w:color="auto" w:fill="FFFFFF"/>
        <w:jc w:val="both"/>
        <w:rPr>
          <w:rFonts w:ascii="Arial Narrow" w:eastAsia="Arial Narrow" w:hAnsi="Arial Narrow" w:cs="Arial Narrow"/>
          <w:color w:val="222222"/>
          <w:sz w:val="24"/>
          <w:szCs w:val="24"/>
        </w:rPr>
      </w:pPr>
      <w:bookmarkStart w:id="0" w:name="_GoBack"/>
      <w:bookmarkEnd w:id="0"/>
      <w:r>
        <w:rPr>
          <w:rFonts w:ascii="Arial Narrow" w:eastAsia="Arial Narrow" w:hAnsi="Arial Narrow" w:cs="Arial Narrow"/>
          <w:color w:val="222222"/>
          <w:sz w:val="24"/>
          <w:szCs w:val="24"/>
        </w:rPr>
        <w:t xml:space="preserve"> </w:t>
      </w:r>
    </w:p>
    <w:p w:rsidR="00DD3391" w:rsidRDefault="00DD3391">
      <w:pPr>
        <w:shd w:val="clear" w:color="auto" w:fill="FFFFFF"/>
        <w:jc w:val="center"/>
        <w:rPr>
          <w:rFonts w:ascii="Arial Narrow" w:eastAsia="Arial Narrow" w:hAnsi="Arial Narrow" w:cs="Arial Narrow"/>
          <w:color w:val="222222"/>
          <w:sz w:val="24"/>
          <w:szCs w:val="24"/>
        </w:rPr>
      </w:pPr>
    </w:p>
    <w:p w:rsidR="00DD3391" w:rsidRDefault="00CA2042">
      <w:pPr>
        <w:widowControl w:val="0"/>
        <w:shd w:val="clear" w:color="auto" w:fill="FFFFFF"/>
        <w:spacing w:before="80" w:after="120"/>
        <w:ind w:right="40"/>
        <w:jc w:val="center"/>
        <w:rPr>
          <w:rFonts w:ascii="Arial Narrow" w:eastAsia="Arial Narrow" w:hAnsi="Arial Narrow" w:cs="Arial Narrow"/>
          <w:b/>
          <w:sz w:val="24"/>
          <w:szCs w:val="24"/>
        </w:rPr>
      </w:pPr>
      <w:r>
        <w:rPr>
          <w:rFonts w:ascii="Arial Narrow" w:eastAsia="Arial Narrow" w:hAnsi="Arial Narrow" w:cs="Arial Narrow"/>
          <w:b/>
          <w:sz w:val="24"/>
          <w:szCs w:val="24"/>
        </w:rPr>
        <w:t>TEXTO PROPUESTO PARA PRIMER DEBATE.</w:t>
      </w:r>
    </w:p>
    <w:p w:rsidR="00DD3391" w:rsidRDefault="00CA2042">
      <w:pPr>
        <w:widowControl w:val="0"/>
        <w:shd w:val="clear" w:color="auto" w:fill="FFFFFF"/>
        <w:spacing w:before="80" w:after="120"/>
        <w:ind w:right="40"/>
        <w:jc w:val="center"/>
        <w:rPr>
          <w:rFonts w:ascii="Arial Narrow" w:eastAsia="Arial Narrow" w:hAnsi="Arial Narrow" w:cs="Arial Narrow"/>
          <w:sz w:val="24"/>
          <w:szCs w:val="24"/>
        </w:rPr>
      </w:pPr>
      <w:r>
        <w:rPr>
          <w:rFonts w:ascii="Arial Narrow" w:eastAsia="Arial Narrow" w:hAnsi="Arial Narrow" w:cs="Arial Narrow"/>
          <w:b/>
          <w:sz w:val="24"/>
          <w:szCs w:val="24"/>
        </w:rPr>
        <w:t xml:space="preserve">PROYECTO DE LEY No. 415 DE 2024 </w:t>
      </w:r>
      <w:proofErr w:type="gramStart"/>
      <w:r>
        <w:rPr>
          <w:rFonts w:ascii="Arial Narrow" w:eastAsia="Arial Narrow" w:hAnsi="Arial Narrow" w:cs="Arial Narrow"/>
          <w:b/>
          <w:sz w:val="24"/>
          <w:szCs w:val="24"/>
        </w:rPr>
        <w:t>CÁMARA</w:t>
      </w:r>
      <w:r w:rsidR="00D70830">
        <w:rPr>
          <w:rFonts w:ascii="Arial Narrow" w:eastAsia="Arial Narrow" w:hAnsi="Arial Narrow" w:cs="Arial Narrow"/>
          <w:b/>
          <w:sz w:val="24"/>
          <w:szCs w:val="24"/>
        </w:rPr>
        <w:t xml:space="preserve"> </w:t>
      </w:r>
      <w:r w:rsidR="00D70830">
        <w:rPr>
          <w:rFonts w:ascii="Arial Narrow" w:eastAsia="Arial Narrow" w:hAnsi="Arial Narrow" w:cs="Arial Narrow"/>
          <w:sz w:val="24"/>
          <w:szCs w:val="24"/>
        </w:rPr>
        <w:t xml:space="preserve"> </w:t>
      </w:r>
      <w:r w:rsidR="00D70830">
        <w:rPr>
          <w:rFonts w:ascii="Arial Narrow" w:eastAsia="Arial Narrow" w:hAnsi="Arial Narrow" w:cs="Arial Narrow"/>
          <w:b/>
          <w:sz w:val="24"/>
          <w:szCs w:val="24"/>
        </w:rPr>
        <w:t>“</w:t>
      </w:r>
      <w:proofErr w:type="gramEnd"/>
      <w:r>
        <w:rPr>
          <w:rFonts w:ascii="Arial Narrow" w:eastAsia="Arial Narrow" w:hAnsi="Arial Narrow" w:cs="Arial Narrow"/>
          <w:b/>
          <w:sz w:val="24"/>
          <w:szCs w:val="24"/>
        </w:rPr>
        <w:t>POR MEDIO DE LA CUAL SE ESTABLECE UN MARCO DE PROTECCIÓN PARA LAS PERSONAS DESPLAZADAS POR FACTORES AMBIENTALES, SE LES RECONOCE COMO SUJETOS DE ESPECIAL PROTECCIÓN Y SE DICTAN OTRAS DISPOSICIONES”</w:t>
      </w:r>
      <w:r>
        <w:rPr>
          <w:rFonts w:ascii="Arial Narrow" w:eastAsia="Arial Narrow" w:hAnsi="Arial Narrow" w:cs="Arial Narrow"/>
          <w:sz w:val="24"/>
          <w:szCs w:val="24"/>
        </w:rPr>
        <w:t xml:space="preserve"> </w:t>
      </w:r>
    </w:p>
    <w:p w:rsidR="00DD3391" w:rsidRDefault="00CA2042">
      <w:pPr>
        <w:widowControl w:val="0"/>
        <w:shd w:val="clear" w:color="auto" w:fill="FFFFFF"/>
        <w:spacing w:after="200"/>
        <w:jc w:val="center"/>
        <w:rPr>
          <w:rFonts w:ascii="Arial Narrow" w:eastAsia="Arial Narrow" w:hAnsi="Arial Narrow" w:cs="Arial Narrow"/>
          <w:sz w:val="24"/>
          <w:szCs w:val="24"/>
        </w:rPr>
      </w:pPr>
      <w:r>
        <w:rPr>
          <w:rFonts w:ascii="Arial Narrow" w:eastAsia="Arial Narrow" w:hAnsi="Arial Narrow" w:cs="Arial Narrow"/>
          <w:b/>
          <w:sz w:val="24"/>
          <w:szCs w:val="24"/>
        </w:rPr>
        <w:t>* * *</w:t>
      </w:r>
      <w:r>
        <w:rPr>
          <w:rFonts w:ascii="Arial Narrow" w:eastAsia="Arial Narrow" w:hAnsi="Arial Narrow" w:cs="Arial Narrow"/>
          <w:sz w:val="24"/>
          <w:szCs w:val="24"/>
        </w:rPr>
        <w:t xml:space="preserve"> </w:t>
      </w:r>
    </w:p>
    <w:p w:rsidR="00DD3391" w:rsidRDefault="00CA2042">
      <w:pPr>
        <w:widowControl w:val="0"/>
        <w:shd w:val="clear" w:color="auto" w:fill="FFFFFF"/>
        <w:spacing w:after="200"/>
        <w:jc w:val="center"/>
        <w:rPr>
          <w:rFonts w:ascii="Arial Narrow" w:eastAsia="Arial Narrow" w:hAnsi="Arial Narrow" w:cs="Arial Narrow"/>
          <w:sz w:val="24"/>
          <w:szCs w:val="24"/>
        </w:rPr>
      </w:pPr>
      <w:r>
        <w:rPr>
          <w:rFonts w:ascii="Arial Narrow" w:eastAsia="Arial Narrow" w:hAnsi="Arial Narrow" w:cs="Arial Narrow"/>
          <w:b/>
          <w:i/>
          <w:sz w:val="24"/>
          <w:szCs w:val="24"/>
        </w:rPr>
        <w:t>El Congreso de Colombia</w:t>
      </w:r>
      <w:r>
        <w:rPr>
          <w:rFonts w:ascii="Arial Narrow" w:eastAsia="Arial Narrow" w:hAnsi="Arial Narrow" w:cs="Arial Narrow"/>
          <w:sz w:val="24"/>
          <w:szCs w:val="24"/>
        </w:rPr>
        <w:t xml:space="preserve"> </w:t>
      </w:r>
    </w:p>
    <w:p w:rsidR="00DD3391" w:rsidRDefault="00CA2042">
      <w:pPr>
        <w:widowControl w:val="0"/>
        <w:shd w:val="clear" w:color="auto" w:fill="FFFFFF"/>
        <w:spacing w:after="200"/>
        <w:jc w:val="center"/>
        <w:rPr>
          <w:rFonts w:ascii="Arial Narrow" w:eastAsia="Arial Narrow" w:hAnsi="Arial Narrow" w:cs="Arial Narrow"/>
          <w:sz w:val="24"/>
          <w:szCs w:val="24"/>
        </w:rPr>
      </w:pPr>
      <w:r>
        <w:rPr>
          <w:rFonts w:ascii="Arial Narrow" w:eastAsia="Arial Narrow" w:hAnsi="Arial Narrow" w:cs="Arial Narrow"/>
          <w:b/>
          <w:sz w:val="24"/>
          <w:szCs w:val="24"/>
        </w:rPr>
        <w:t>DECRETA</w:t>
      </w:r>
      <w:r>
        <w:rPr>
          <w:rFonts w:ascii="Arial Narrow" w:eastAsia="Arial Narrow" w:hAnsi="Arial Narrow" w:cs="Arial Narrow"/>
          <w:sz w:val="24"/>
          <w:szCs w:val="24"/>
        </w:rPr>
        <w:t xml:space="preserve"> </w:t>
      </w:r>
    </w:p>
    <w:p w:rsidR="00DD3391" w:rsidRDefault="00CA2042">
      <w:pPr>
        <w:widowControl w:val="0"/>
        <w:shd w:val="clear" w:color="auto" w:fill="FFFFFF"/>
        <w:spacing w:after="20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Artículo 1. Objeto. </w:t>
      </w:r>
      <w:r>
        <w:rPr>
          <w:rFonts w:ascii="Arial Narrow" w:eastAsia="Arial Narrow" w:hAnsi="Arial Narrow" w:cs="Arial Narrow"/>
          <w:sz w:val="24"/>
          <w:szCs w:val="24"/>
        </w:rPr>
        <w:t xml:space="preserve">La presente ley tiene por objeto establecer un marco de protección para las personas desplazadas o en riesgo de </w:t>
      </w:r>
      <w:r w:rsidR="00D70830">
        <w:rPr>
          <w:rFonts w:ascii="Arial Narrow" w:eastAsia="Arial Narrow" w:hAnsi="Arial Narrow" w:cs="Arial Narrow"/>
          <w:sz w:val="24"/>
          <w:szCs w:val="24"/>
        </w:rPr>
        <w:t>desplazamiento por</w:t>
      </w:r>
      <w:r>
        <w:rPr>
          <w:rFonts w:ascii="Arial Narrow" w:eastAsia="Arial Narrow" w:hAnsi="Arial Narrow" w:cs="Arial Narrow"/>
          <w:sz w:val="24"/>
          <w:szCs w:val="24"/>
        </w:rPr>
        <w:t xml:space="preserve"> factores ambientales, reconocerlos como Sujetos de especial protección, y definir las obligaciones que le corresponden al Estado adoptando medidas de prevención, adaptación, protección y atención antes, durante y posterior al desplazamiento por factores ambientales, desde un enfoque integral de derechos</w:t>
      </w:r>
      <w:r>
        <w:rPr>
          <w:rFonts w:ascii="Arial Narrow" w:eastAsia="Arial Narrow" w:hAnsi="Arial Narrow" w:cs="Arial Narrow"/>
          <w:b/>
          <w:sz w:val="24"/>
          <w:szCs w:val="24"/>
        </w:rPr>
        <w:t>.</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2. Principios. </w:t>
      </w:r>
      <w:r>
        <w:rPr>
          <w:rFonts w:ascii="Arial Narrow" w:eastAsia="Arial Narrow" w:hAnsi="Arial Narrow" w:cs="Arial Narrow"/>
          <w:sz w:val="24"/>
          <w:szCs w:val="24"/>
        </w:rPr>
        <w:t xml:space="preserve">La presente ley se orienta por los siguientes principios y enfoques: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Bloque de constitucionalidad</w:t>
      </w:r>
      <w:r>
        <w:rPr>
          <w:rFonts w:ascii="Arial Narrow" w:eastAsia="Arial Narrow" w:hAnsi="Arial Narrow" w:cs="Arial Narrow"/>
          <w:sz w:val="24"/>
          <w:szCs w:val="24"/>
        </w:rPr>
        <w:t xml:space="preserve">. El Marco de protección para las personas desplazadas por factores ambientales incluye los Principios internacionales relacionados con personas desplazadas, así como los contenidos en tratados y convenciones internacionales relacionadas con el cambio climático, la gestión y reducción del riesgo de desastres, el acceso a la información y la participación pública en Asuntos ambientales, reconocidos en el bloque de Constitucionalidad en Colombia.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Enfoque de derechos. </w:t>
      </w:r>
      <w:r>
        <w:rPr>
          <w:rFonts w:ascii="Arial Narrow" w:eastAsia="Arial Narrow" w:hAnsi="Arial Narrow" w:cs="Arial Narrow"/>
          <w:sz w:val="24"/>
          <w:szCs w:val="24"/>
        </w:rPr>
        <w:t>El Enfoque Basado en Derechos Humanos (EBDH) o enfoque de derechos, es un marco conceptual que busca contribuir al proceso de desarrollo humano y orientar las acciones necesarias para dar cumplimiento a los derechos de las personas. El enfoque basado en los derechos humanos se centra en los grupos de población que son objeto de una mayor marginación, exclusión y discriminación</w:t>
      </w:r>
      <w:r>
        <w:rPr>
          <w:rFonts w:ascii="Arial Narrow" w:eastAsia="Arial Narrow" w:hAnsi="Arial Narrow" w:cs="Arial Narrow"/>
          <w:b/>
          <w:sz w:val="24"/>
          <w:szCs w:val="24"/>
        </w:rPr>
        <w:t>.</w:t>
      </w:r>
      <w:r>
        <w:rPr>
          <w:rFonts w:ascii="Arial Narrow" w:eastAsia="Arial Narrow" w:hAnsi="Arial Narrow" w:cs="Arial Narrow"/>
          <w:sz w:val="24"/>
          <w:szCs w:val="24"/>
        </w:rPr>
        <w:t xml:space="preserve">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Acceso a la información y Participación</w:t>
      </w:r>
      <w:r>
        <w:rPr>
          <w:rFonts w:ascii="Arial Narrow" w:eastAsia="Arial Narrow" w:hAnsi="Arial Narrow" w:cs="Arial Narrow"/>
          <w:sz w:val="24"/>
          <w:szCs w:val="24"/>
        </w:rPr>
        <w:t xml:space="preserve">. Toda persona deberá tener acceso adecuado a la información sobre el medio ambiente de que dispongan las autoridades públicas, incluida la información sobre los materiales y las actividades que encierran peligro en sus comunidades, así como la oportunidad de participar en los procesos de adopción de decisiones. Los Estados deberán facilitar y fomentar la sensibilización y la participación de la población poniendo la información a disposición de todos.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Transparencia y oportunidad de la Información</w:t>
      </w:r>
      <w:r>
        <w:rPr>
          <w:rFonts w:ascii="Arial Narrow" w:eastAsia="Arial Narrow" w:hAnsi="Arial Narrow" w:cs="Arial Narrow"/>
          <w:sz w:val="24"/>
          <w:szCs w:val="24"/>
        </w:rPr>
        <w:t xml:space="preserve">. La población desplazada por factores ambientales, recibirá información transparente, clara, veraz y oportuna sobre sus derechos, deberes y obligaciones, así como sobre las medidas de atención y protección promovidas por el Estado.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Progresividad</w:t>
      </w:r>
      <w:r>
        <w:rPr>
          <w:rFonts w:ascii="Arial Narrow" w:eastAsia="Arial Narrow" w:hAnsi="Arial Narrow" w:cs="Arial Narrow"/>
          <w:sz w:val="24"/>
          <w:szCs w:val="24"/>
        </w:rPr>
        <w:t xml:space="preserve">. El principio de progresividad supone el compromiso de iniciar procesos que conlleven al goce efectivo de los Derechos Humanos, obligación que se suma al reconocimiento de unos contenidos mínimos o esenciales de satisfacción de esos derechos que el Estado debe garantizar a todas las personas, e ir acrecentándolos paulatinamente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Igualdad y no discriminación</w:t>
      </w:r>
      <w:r>
        <w:rPr>
          <w:rFonts w:ascii="Arial Narrow" w:eastAsia="Arial Narrow" w:hAnsi="Arial Narrow" w:cs="Arial Narrow"/>
          <w:sz w:val="24"/>
          <w:szCs w:val="24"/>
        </w:rPr>
        <w:t xml:space="preserve">. Las medidas contempladas en la presente ley serán reconocidas sin distinción de género, respetando la libertad u orientación sexual, raza, condición social, la profesión, el origen nacional o familiar, la lengua, el credo religioso, la opinión política o filosófica.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Mitigación y compensación de impactos</w:t>
      </w:r>
      <w:r>
        <w:rPr>
          <w:rFonts w:ascii="Arial Narrow" w:eastAsia="Arial Narrow" w:hAnsi="Arial Narrow" w:cs="Arial Narrow"/>
          <w:sz w:val="24"/>
          <w:szCs w:val="24"/>
        </w:rPr>
        <w:t xml:space="preserve">. El Estado tiene la obligación de mitigar y compensar los impactos a los pobladores originados por el desplazamiento involuntario o voluntario, cuando éste sea inevitable.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Gradualidad</w:t>
      </w:r>
      <w:r>
        <w:rPr>
          <w:rFonts w:ascii="Arial Narrow" w:eastAsia="Arial Narrow" w:hAnsi="Arial Narrow" w:cs="Arial Narrow"/>
          <w:sz w:val="24"/>
          <w:szCs w:val="24"/>
        </w:rPr>
        <w:t xml:space="preserve">. El principio de gradualidad implica la responsabilidad Estatal de diseñar herramientas operativas de alcance definido en tiempo, espacio y recursos presupuestales que permitan la escalonada implementación de las disposiciones contenidas en la presente ley. </w:t>
      </w:r>
    </w:p>
    <w:p w:rsidR="00DD3391" w:rsidRDefault="00CA2042">
      <w:pPr>
        <w:widowControl w:val="0"/>
        <w:shd w:val="clear" w:color="auto" w:fill="FFFFFF"/>
        <w:spacing w:after="200"/>
        <w:jc w:val="both"/>
        <w:rPr>
          <w:rFonts w:ascii="Arial Narrow" w:eastAsia="Arial Narrow" w:hAnsi="Arial Narrow" w:cs="Arial Narrow"/>
          <w:sz w:val="24"/>
          <w:szCs w:val="24"/>
          <w:highlight w:val="white"/>
        </w:rPr>
      </w:pPr>
      <w:r>
        <w:rPr>
          <w:rFonts w:ascii="Arial Narrow" w:eastAsia="Arial Narrow" w:hAnsi="Arial Narrow" w:cs="Arial Narrow"/>
          <w:sz w:val="24"/>
          <w:szCs w:val="24"/>
        </w:rPr>
        <w:t xml:space="preserve">Enfoque diferencial. El principio de enfoque diferencial reconoce que hay poblaciones con características particulares en razón de su edad, </w:t>
      </w:r>
      <w:proofErr w:type="spellStart"/>
      <w:proofErr w:type="gramStart"/>
      <w:r>
        <w:rPr>
          <w:rFonts w:ascii="Arial Narrow" w:eastAsia="Arial Narrow" w:hAnsi="Arial Narrow" w:cs="Arial Narrow"/>
          <w:sz w:val="24"/>
          <w:szCs w:val="24"/>
        </w:rPr>
        <w:t>sexo,etnia</w:t>
      </w:r>
      <w:proofErr w:type="spellEnd"/>
      <w:proofErr w:type="gramEnd"/>
      <w:r>
        <w:rPr>
          <w:rFonts w:ascii="Arial Narrow" w:eastAsia="Arial Narrow" w:hAnsi="Arial Narrow" w:cs="Arial Narrow"/>
          <w:sz w:val="24"/>
          <w:szCs w:val="24"/>
        </w:rPr>
        <w:t>, género, orientación sexual, identidad de género diversa,</w:t>
      </w:r>
      <w:r>
        <w:rPr>
          <w:rFonts w:ascii="Arial Narrow" w:eastAsia="Arial Narrow" w:hAnsi="Arial Narrow" w:cs="Arial Narrow"/>
          <w:strike/>
          <w:sz w:val="24"/>
          <w:szCs w:val="24"/>
        </w:rPr>
        <w:t xml:space="preserve"> y </w:t>
      </w:r>
      <w:r>
        <w:rPr>
          <w:rFonts w:ascii="Arial Narrow" w:eastAsia="Arial Narrow" w:hAnsi="Arial Narrow" w:cs="Arial Narrow"/>
          <w:sz w:val="24"/>
          <w:szCs w:val="24"/>
        </w:rPr>
        <w:t xml:space="preserve">situación de discapacidad, diversidad cultural y territorial, </w:t>
      </w:r>
      <w:proofErr w:type="spellStart"/>
      <w:r>
        <w:rPr>
          <w:rFonts w:ascii="Arial Narrow" w:eastAsia="Arial Narrow" w:hAnsi="Arial Narrow" w:cs="Arial Narrow"/>
          <w:sz w:val="24"/>
          <w:szCs w:val="24"/>
        </w:rPr>
        <w:t>asi</w:t>
      </w:r>
      <w:proofErr w:type="spellEnd"/>
      <w:r>
        <w:rPr>
          <w:rFonts w:ascii="Arial Narrow" w:eastAsia="Arial Narrow" w:hAnsi="Arial Narrow" w:cs="Arial Narrow"/>
          <w:sz w:val="24"/>
          <w:szCs w:val="24"/>
        </w:rPr>
        <w:t xml:space="preserve"> como las experiencias de desplazamiento previas.</w:t>
      </w:r>
      <w:r>
        <w:rPr>
          <w:rFonts w:ascii="Arial Narrow" w:eastAsia="Arial Narrow" w:hAnsi="Arial Narrow" w:cs="Arial Narrow"/>
          <w:sz w:val="24"/>
          <w:szCs w:val="24"/>
          <w:highlight w:val="white"/>
        </w:rPr>
        <w:t xml:space="preserve">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El Estado deberá adoptar medidas de protección especial y diferenciada para grupos particularmente vulnerables, como mujeres, niños, personas con discapacidad, pueblos indígenas, afrodescendientes y personas mayores, quienes enfrentan mayores riesgos durante el desplazamiento, garantizando que sus derechos sean plenamente respetados y que se les brinde la atención adecuada en todos los procesos relacionados con el desplazamiento.</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Colaboración armónica</w:t>
      </w:r>
      <w:r>
        <w:rPr>
          <w:rFonts w:ascii="Arial Narrow" w:eastAsia="Arial Narrow" w:hAnsi="Arial Narrow" w:cs="Arial Narrow"/>
          <w:sz w:val="24"/>
          <w:szCs w:val="24"/>
        </w:rPr>
        <w:t xml:space="preserve">. Las entidades del Estado deberán trabajar de manera armónica y articulada para el cumplimiento de los fines previstos en la presente ley, sin perjuicio de su autonomía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Acceso a la justicia</w:t>
      </w:r>
      <w:r>
        <w:rPr>
          <w:rFonts w:ascii="Arial Narrow" w:eastAsia="Arial Narrow" w:hAnsi="Arial Narrow" w:cs="Arial Narrow"/>
          <w:sz w:val="24"/>
          <w:szCs w:val="24"/>
        </w:rPr>
        <w:t xml:space="preserve">. Debe proporcionarse acceso efectivo a los procedimientos judiciales y administrativos, entre éstos el resarcimiento de daños y los recursos pertinentes.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Principio de prevención</w:t>
      </w:r>
      <w:r>
        <w:rPr>
          <w:rFonts w:ascii="Arial Narrow" w:eastAsia="Arial Narrow" w:hAnsi="Arial Narrow" w:cs="Arial Narrow"/>
          <w:sz w:val="24"/>
          <w:szCs w:val="24"/>
        </w:rPr>
        <w:t xml:space="preserve">. Conocimiento anticipado del riesgo de daño ambiental y adopción de medidas para neutralizarlo.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Principio de Precaución</w:t>
      </w:r>
      <w:r>
        <w:rPr>
          <w:rFonts w:ascii="Arial Narrow" w:eastAsia="Arial Narrow" w:hAnsi="Arial Narrow" w:cs="Arial Narrow"/>
          <w:sz w:val="24"/>
          <w:szCs w:val="24"/>
        </w:rPr>
        <w:t xml:space="preserve">. Con el fin de proteger el medio ambiente, los Estados deberán aplicar ampliamente el criterio de precaución conforme a sus capacidades. Cuando haya peligro de daño grave e irreversible, la falta de certeza científica absoluta no deberá utilizarse como razón para postergar la adopción de medidas eficaces en función de los costos para impedir la degradación del medio ambiente.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Justicia climática. Principio que relaciona el cambio climático con los derechos humanos y la equidad social, reconociendo que las poblaciones más vulnerables son las que sufren en mayor medida las consecuencias del cambio climático, a pesar de ser las que menos contribuyen a su origen. Promueve la participación activa e igualitaria de las comunidades en la toma de decisiones ambientales, así como la distribución equitativa de las responsabilidades y las acciones de mitigación y adaptación.</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3. Definiciones. </w:t>
      </w:r>
      <w:r>
        <w:rPr>
          <w:rFonts w:ascii="Arial Narrow" w:eastAsia="Arial Narrow" w:hAnsi="Arial Narrow" w:cs="Arial Narrow"/>
          <w:sz w:val="24"/>
          <w:szCs w:val="24"/>
        </w:rPr>
        <w:t xml:space="preserve"> </w:t>
      </w:r>
      <w:r>
        <w:rPr>
          <w:rFonts w:ascii="Arial Narrow" w:eastAsia="Arial Narrow" w:hAnsi="Arial Narrow" w:cs="Arial Narrow"/>
          <w:b/>
          <w:sz w:val="24"/>
          <w:szCs w:val="24"/>
        </w:rPr>
        <w:t xml:space="preserve"> </w:t>
      </w:r>
      <w:r>
        <w:rPr>
          <w:rFonts w:ascii="Arial Narrow" w:eastAsia="Arial Narrow" w:hAnsi="Arial Narrow" w:cs="Arial Narrow"/>
          <w:sz w:val="24"/>
          <w:szCs w:val="24"/>
        </w:rPr>
        <w:t>Para fines de la presente ley se tendrán las siguientes definiciones.</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Desplazados internos</w:t>
      </w:r>
      <w:r>
        <w:rPr>
          <w:rFonts w:ascii="Arial Narrow" w:eastAsia="Arial Narrow" w:hAnsi="Arial Narrow" w:cs="Arial Narrow"/>
          <w:sz w:val="24"/>
          <w:szCs w:val="24"/>
        </w:rPr>
        <w:t xml:space="preserve">. Los desplazados internos son personas o grupos de personas que se han visto forzadas u obligadas a escapar o huir de su hogar o de su lugar de residencia habitual, en particular como resultado o para evitar los efectos de un conflicto armado, de situaciones de violencia generalizada, de violaciones de los derechos humanos o de catástrofes naturales o provocadas por el ser humano, y que no han cruzado una frontera estatal internacionalmente reconocida.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Desplazados por factores ambientales.</w:t>
      </w:r>
      <w:r>
        <w:rPr>
          <w:rFonts w:ascii="Arial Narrow" w:eastAsia="Arial Narrow" w:hAnsi="Arial Narrow" w:cs="Arial Narrow"/>
          <w:sz w:val="24"/>
          <w:szCs w:val="24"/>
        </w:rPr>
        <w:t xml:space="preserve"> Los desplazados por factores ambientales son aquellas personas y comunidades que se han visto obligadas a abandonar su hogar o residencia habitual debido a múltiples causas relacionadas con los desastres, las consecuencias del cambio climático y la degradación ambiental, </w:t>
      </w:r>
      <w:r>
        <w:rPr>
          <w:rFonts w:ascii="Arial Narrow" w:eastAsia="Arial Narrow" w:hAnsi="Arial Narrow" w:cs="Arial Narrow"/>
          <w:sz w:val="24"/>
          <w:szCs w:val="24"/>
          <w:highlight w:val="white"/>
        </w:rPr>
        <w:t>que se pueden manifestar de forma repentina o por situaciones de lenta aparición,</w:t>
      </w:r>
      <w:r>
        <w:rPr>
          <w:rFonts w:ascii="Arial Narrow" w:eastAsia="Arial Narrow" w:hAnsi="Arial Narrow" w:cs="Arial Narrow"/>
          <w:sz w:val="24"/>
          <w:szCs w:val="24"/>
        </w:rPr>
        <w:t xml:space="preserve"> amenazando y afectando de manera compleja el ejercicio de los derechos de las personas.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Riesgo de desastres. </w:t>
      </w:r>
      <w:r>
        <w:rPr>
          <w:rFonts w:ascii="Arial Narrow" w:eastAsia="Arial Narrow" w:hAnsi="Arial Narrow" w:cs="Arial Narrow"/>
          <w:sz w:val="24"/>
          <w:szCs w:val="24"/>
        </w:rPr>
        <w:t xml:space="preserve">Corresponde a los daños o pérdidas potenciales que pueden presentarse debido a los eventos físicos peligrosos de origen natural, socio natural, tecnológico, </w:t>
      </w:r>
      <w:proofErr w:type="spellStart"/>
      <w:r>
        <w:rPr>
          <w:rFonts w:ascii="Arial Narrow" w:eastAsia="Arial Narrow" w:hAnsi="Arial Narrow" w:cs="Arial Narrow"/>
          <w:sz w:val="24"/>
          <w:szCs w:val="24"/>
        </w:rPr>
        <w:t>biosanitario</w:t>
      </w:r>
      <w:proofErr w:type="spellEnd"/>
      <w:r>
        <w:rPr>
          <w:rFonts w:ascii="Arial Narrow" w:eastAsia="Arial Narrow" w:hAnsi="Arial Narrow" w:cs="Arial Narrow"/>
          <w:sz w:val="24"/>
          <w:szCs w:val="24"/>
        </w:rPr>
        <w:t xml:space="preserve"> o humano no intencional, en un período de tiempo específico, y que son determinados por la vulnerabilidad de los elementos expuestos; por consiguiente, el riesgo de desastres se deriva de la combinación de la amenaza, exposición a la amenaza y vulnerabilidad global.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Desastres</w:t>
      </w:r>
      <w:r>
        <w:rPr>
          <w:rFonts w:ascii="Arial Narrow" w:eastAsia="Arial Narrow" w:hAnsi="Arial Narrow" w:cs="Arial Narrow"/>
          <w:sz w:val="24"/>
          <w:szCs w:val="24"/>
        </w:rPr>
        <w:t xml:space="preserve">. Un desastre puede entenderse como la manifestación de un riesgo que potencialmente afecta la vida humana, el medio ambiente, las infraestructuras sociales y los sistemas productivos y económicos, causando no solo impactos físicos, sino rupturas espaciales, afectivas y emocionales. El riesgo surge cuando personas, bienes o infraestructuras están expuestos a una amenaza, ya sea de origen natural, antrópico o una combinación de ambas.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Desastres por factores ambientales</w:t>
      </w:r>
      <w:r>
        <w:rPr>
          <w:rFonts w:ascii="Arial Narrow" w:eastAsia="Arial Narrow" w:hAnsi="Arial Narrow" w:cs="Arial Narrow"/>
          <w:sz w:val="24"/>
          <w:szCs w:val="24"/>
        </w:rPr>
        <w:t xml:space="preserve">. Disrupciones provocadas o vinculadas a amenazas naturales </w:t>
      </w:r>
      <w:proofErr w:type="spellStart"/>
      <w:r>
        <w:rPr>
          <w:rFonts w:ascii="Arial Narrow" w:eastAsia="Arial Narrow" w:hAnsi="Arial Narrow" w:cs="Arial Narrow"/>
          <w:sz w:val="24"/>
          <w:szCs w:val="24"/>
        </w:rPr>
        <w:t>hidrometeorológicas</w:t>
      </w:r>
      <w:proofErr w:type="spellEnd"/>
      <w:r>
        <w:rPr>
          <w:rFonts w:ascii="Arial Narrow" w:eastAsia="Arial Narrow" w:hAnsi="Arial Narrow" w:cs="Arial Narrow"/>
          <w:sz w:val="24"/>
          <w:szCs w:val="24"/>
        </w:rPr>
        <w:t xml:space="preserve"> o climatológicas, entre ellas las amenazas vinculadas al cambio climático, antropogénico, así como las amenazas geofísicas.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Información ambiental.  </w:t>
      </w:r>
      <w:r>
        <w:rPr>
          <w:rFonts w:ascii="Arial Narrow" w:eastAsia="Arial Narrow" w:hAnsi="Arial Narrow" w:cs="Arial Narrow"/>
          <w:sz w:val="24"/>
          <w:szCs w:val="24"/>
        </w:rPr>
        <w:t xml:space="preserve">Cualquier información escrita, visual, sonora, electrónica o registrada en cualquier otro formato, relativa al medio ambiente y sus elementos y a los recursos naturales, incluyendo aquella que esté relacionada con los riesgos ambientales y los posibles impactos adversos asociados que afecten o puedan afectar el medio ambiente y la salud, así como la relacionada con la protección y la gestión ambientales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Amenaza</w:t>
      </w:r>
      <w:sdt>
        <w:sdtPr>
          <w:tag w:val="goog_rdk_4"/>
          <w:id w:val="413519795"/>
        </w:sdtPr>
        <w:sdtContent>
          <w:r>
            <w:rPr>
              <w:rFonts w:ascii="Arial Unicode MS" w:eastAsia="Arial Unicode MS" w:hAnsi="Arial Unicode MS" w:cs="Arial Unicode MS"/>
              <w:sz w:val="24"/>
              <w:szCs w:val="24"/>
            </w:rPr>
            <w:t xml:space="preserve">​. Peligro latente de que un evento físico de origen natural, o causado, o inducido por la acción humana, se presente con una severidad </w:t>
          </w:r>
          <w:proofErr w:type="spellStart"/>
          <w:r>
            <w:rPr>
              <w:rFonts w:ascii="Arial Unicode MS" w:eastAsia="Arial Unicode MS" w:hAnsi="Arial Unicode MS" w:cs="Arial Unicode MS"/>
              <w:sz w:val="24"/>
              <w:szCs w:val="24"/>
            </w:rPr>
            <w:t>suﬁciente</w:t>
          </w:r>
          <w:proofErr w:type="spellEnd"/>
          <w:r>
            <w:rPr>
              <w:rFonts w:ascii="Arial Unicode MS" w:eastAsia="Arial Unicode MS" w:hAnsi="Arial Unicode MS" w:cs="Arial Unicode MS"/>
              <w:sz w:val="24"/>
              <w:szCs w:val="24"/>
            </w:rPr>
            <w:t xml:space="preserve"> para causar pérdida de vidas, lesiones u otros impactos en la salud, así como también daños y pérdidas en los bienes, la infraestructura, los medios de sustento, la prestación de servicios y los recursos ambientales. ​ </w:t>
          </w:r>
        </w:sdtContent>
      </w:sdt>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Vulnerabilidad.</w:t>
      </w:r>
      <w:r>
        <w:rPr>
          <w:rFonts w:ascii="Arial Narrow" w:eastAsia="Arial Narrow" w:hAnsi="Arial Narrow" w:cs="Arial Narrow"/>
          <w:sz w:val="24"/>
          <w:szCs w:val="24"/>
        </w:rPr>
        <w:t xml:space="preserve"> Es la incapacidad de resistencia de una comunidad cuando se presenta un fenómeno amenazante 0 la incapacidad para reponerse y absorber de manera autónoma, los efectos de una amenaza que pueda generar un determinado cambio en su medio ambiente, medios de vida y lugar de habitación. Tiene que ver con la inflexibilidad o incapacidad para adaptarse a ese cambio negativo, que para la comunidad constituye un riesgo. La intensidad de los daños que produce la materialización del riesgo sobre la comunidad está directamente relacionada con su grado de vulnerabilidad para enfrentarlo.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Solución duradera. </w:t>
      </w:r>
      <w:r>
        <w:rPr>
          <w:rFonts w:ascii="Arial Narrow" w:eastAsia="Arial Narrow" w:hAnsi="Arial Narrow" w:cs="Arial Narrow"/>
          <w:sz w:val="24"/>
          <w:szCs w:val="24"/>
        </w:rPr>
        <w:t xml:space="preserve">Una solución duradera se logra cuando las personas que estaban en situación de desplazamiento interno dejan de necesitar asistencia o protección específicas vinculadas con su desplazamiento y pueden disfrutar de sus derechos humanos sin ser discriminados por esa condición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Gestión del riesgo</w:t>
      </w:r>
      <w:r>
        <w:rPr>
          <w:rFonts w:ascii="Arial Narrow" w:eastAsia="Arial Narrow" w:hAnsi="Arial Narrow" w:cs="Arial Narrow"/>
          <w:sz w:val="24"/>
          <w:szCs w:val="24"/>
        </w:rPr>
        <w:t xml:space="preserve">. Es el proceso social de planeación, ejecución, seguimiento y evaluación de políticas y acciones permanentes para el conocimiento del riesgo y promoción de una mayor conciencia del mismo, impedir o evitar que se genere, reducirlo o controlarlo cuando ya existe y para prepararse y manejar las situaciones de desastre, así como para la posterior recuperación, entiéndase: rehabilitación y reconstrucción. Estas acciones tienen el propósito explícito de contribuir a la seguridad, el bienestar y calidad de vida de las personas y al desarrollo sostenible.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Exposición. </w:t>
      </w:r>
      <w:r>
        <w:rPr>
          <w:rFonts w:ascii="Arial Narrow" w:eastAsia="Arial Narrow" w:hAnsi="Arial Narrow" w:cs="Arial Narrow"/>
          <w:sz w:val="24"/>
          <w:szCs w:val="24"/>
        </w:rPr>
        <w:t xml:space="preserve">Se refiere a la presencia de personas, medios de subsistencia, servicios ambientales y recursos económicos y sociales, bienes culturales e infraestructura que por su localización pueden ser afectados por la manifestación de una amenaza A medida que se genera exposición frente a la amenaza, aparece la vulnerabilidad.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Riesgo climático</w:t>
      </w:r>
      <w:r>
        <w:rPr>
          <w:rFonts w:ascii="Arial Narrow" w:eastAsia="Arial Narrow" w:hAnsi="Arial Narrow" w:cs="Arial Narrow"/>
          <w:sz w:val="24"/>
          <w:szCs w:val="24"/>
        </w:rPr>
        <w:t>. Es la probabilidad de pérdidas socioeconómicas y de ecosistemas por eventos climatológicos, lo que se traduce en la evaluación de la exposición, la amenaza y la vulnerabilidad.</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Emplazamiento por factores ambientales. </w:t>
      </w:r>
      <w:r>
        <w:rPr>
          <w:rFonts w:ascii="Arial Narrow" w:eastAsia="Arial Narrow" w:hAnsi="Arial Narrow" w:cs="Arial Narrow"/>
          <w:sz w:val="24"/>
          <w:szCs w:val="24"/>
        </w:rPr>
        <w:t xml:space="preserve">Situaciones en las que las personas, aunque son víctimas de las múltiples causas que provocan el desplazamiento por factores ambientales, no pueden desplazarse debido </w:t>
      </w:r>
      <w:r w:rsidR="00D70830">
        <w:rPr>
          <w:rFonts w:ascii="Arial Narrow" w:eastAsia="Arial Narrow" w:hAnsi="Arial Narrow" w:cs="Arial Narrow"/>
          <w:sz w:val="24"/>
          <w:szCs w:val="24"/>
        </w:rPr>
        <w:t>a razones</w:t>
      </w:r>
      <w:r>
        <w:rPr>
          <w:rFonts w:ascii="Arial Narrow" w:eastAsia="Arial Narrow" w:hAnsi="Arial Narrow" w:cs="Arial Narrow"/>
          <w:sz w:val="24"/>
          <w:szCs w:val="24"/>
        </w:rPr>
        <w:t xml:space="preserve"> tales como su relación con el territorio o su alta vulnerabilidad. Por lo </w:t>
      </w:r>
      <w:r w:rsidR="00D70830">
        <w:rPr>
          <w:rFonts w:ascii="Arial Narrow" w:eastAsia="Arial Narrow" w:hAnsi="Arial Narrow" w:cs="Arial Narrow"/>
          <w:sz w:val="24"/>
          <w:szCs w:val="24"/>
        </w:rPr>
        <w:t>cual, siguen</w:t>
      </w:r>
      <w:r>
        <w:rPr>
          <w:rFonts w:ascii="Arial Narrow" w:eastAsia="Arial Narrow" w:hAnsi="Arial Narrow" w:cs="Arial Narrow"/>
          <w:sz w:val="24"/>
          <w:szCs w:val="24"/>
        </w:rPr>
        <w:t xml:space="preserve"> expuestas a los efectos de los factores que provocan el desplazamiento.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Artículo</w:t>
      </w:r>
      <w:r>
        <w:rPr>
          <w:rFonts w:ascii="Arial Narrow" w:eastAsia="Arial Narrow" w:hAnsi="Arial Narrow" w:cs="Arial Narrow"/>
          <w:sz w:val="24"/>
          <w:szCs w:val="24"/>
        </w:rPr>
        <w:t> </w:t>
      </w:r>
      <w:r>
        <w:rPr>
          <w:rFonts w:ascii="Arial Narrow" w:eastAsia="Arial Narrow" w:hAnsi="Arial Narrow" w:cs="Arial Narrow"/>
          <w:b/>
          <w:sz w:val="24"/>
          <w:szCs w:val="24"/>
        </w:rPr>
        <w:t xml:space="preserve">4. Derechos de las personas desplazadas por factores ambientales. </w:t>
      </w:r>
      <w:r>
        <w:rPr>
          <w:rFonts w:ascii="Arial Narrow" w:eastAsia="Arial Narrow" w:hAnsi="Arial Narrow" w:cs="Arial Narrow"/>
          <w:sz w:val="24"/>
          <w:szCs w:val="24"/>
        </w:rPr>
        <w:t xml:space="preserve">Las personas desplazadas por factores ambientales tienen, entre otros, los siguientes derechos: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una vivienda digna, cobijo y alojamiento básico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Derecho al trabajo y al mínimo vital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la alimentación y a la seguridad alimentaria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la vida en condiciones de dignidad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la integridad y la seguridad personal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de acceso a la información ambiental, oportuna y transparente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la igualdad y a no ser discriminados en razón de su edad, etnia, género, orientación sexual y situación de discapacidad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un ambiente sano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al acompañamiento social, técnico, jurídico y operativo antes, durante y posterior al desplazamiento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la reunificación familiar y a la protección integral de la familia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la salud, servicios médicos y de saneamiento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acceder a soluciones definitivas a su situación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al retorno voluntario seguro, digno y sostenible.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al reasentamiento y a la reubicación voluntaria, segura, digna y sostenible orientada a su estabilización socioeconómica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de las personas a escoger su lugar de domicilio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Derecho a participación pública en el proceso de toma de decisiones ambientales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sz w:val="24"/>
          <w:szCs w:val="24"/>
        </w:rPr>
        <w:t>Derecho a la justicia, con miras a garantizar el acceso a mecanismos legales efectivos para asegurar una reparación integral.</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5. Protección Especial. </w:t>
      </w:r>
      <w:r>
        <w:rPr>
          <w:rFonts w:ascii="Arial Narrow" w:eastAsia="Arial Narrow" w:hAnsi="Arial Narrow" w:cs="Arial Narrow"/>
          <w:sz w:val="24"/>
          <w:szCs w:val="24"/>
        </w:rPr>
        <w:t xml:space="preserve">En atención a las condiciones de vulnerabilidad y debilidad manifiesta de la población desplazada por factores ambientales, el Estado Colombiano los reconoce como Sujetos de especial protección y debe adoptar todas las medidas necesarias para garantizar integralmente sus derechos en desarrollo del principio de igualdad, aplicando un tratamiento diferencial positivo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6. Obligaciones especiales en cabeza del Estado. </w:t>
      </w:r>
      <w:r>
        <w:rPr>
          <w:rFonts w:ascii="Arial Narrow" w:eastAsia="Arial Narrow" w:hAnsi="Arial Narrow" w:cs="Arial Narrow"/>
          <w:sz w:val="24"/>
          <w:szCs w:val="24"/>
        </w:rPr>
        <w:t xml:space="preserve">El Estado Colombiano tiene obligaciones particulares para enfrentar el desplazamiento forzado por factores ambientales, las cuales implican la adopción de una política pública integral sobre el tema, junto a de medidas de prevención y adaptación incluyendo la mitigación del riesgo de desplazamiento, las que se activan durante el desplazamiento, </w:t>
      </w:r>
      <w:r>
        <w:rPr>
          <w:rFonts w:ascii="Arial Narrow" w:eastAsia="Arial Narrow" w:hAnsi="Arial Narrow" w:cs="Arial Narrow"/>
          <w:sz w:val="24"/>
          <w:szCs w:val="24"/>
        </w:rPr>
        <w:lastRenderedPageBreak/>
        <w:t>protección y atención humanitaria, y las relacionadas con el regreso, reasentamiento y la reintegración.</w:t>
      </w:r>
    </w:p>
    <w:p w:rsidR="00DD3391" w:rsidRDefault="00CA2042">
      <w:pPr>
        <w:widowControl w:val="0"/>
        <w:shd w:val="clear" w:color="auto" w:fill="FFFFFF"/>
        <w:spacing w:after="200"/>
        <w:jc w:val="both"/>
        <w:rPr>
          <w:rFonts w:ascii="Arial Narrow" w:eastAsia="Arial Narrow" w:hAnsi="Arial Narrow" w:cs="Arial Narrow"/>
          <w:b/>
          <w:sz w:val="24"/>
          <w:szCs w:val="24"/>
          <w:u w:val="single"/>
        </w:rPr>
      </w:pPr>
      <w:r>
        <w:rPr>
          <w:rFonts w:ascii="Arial Narrow" w:eastAsia="Arial Narrow" w:hAnsi="Arial Narrow" w:cs="Arial Narrow"/>
          <w:b/>
          <w:sz w:val="24"/>
          <w:szCs w:val="24"/>
        </w:rPr>
        <w:t xml:space="preserve">Artículo 7. Obligaciones de prevención y adaptación. </w:t>
      </w:r>
      <w:r>
        <w:rPr>
          <w:rFonts w:ascii="Arial Narrow" w:eastAsia="Arial Narrow" w:hAnsi="Arial Narrow" w:cs="Arial Narrow"/>
          <w:sz w:val="24"/>
          <w:szCs w:val="24"/>
        </w:rPr>
        <w:t xml:space="preserve">Las medidas de prevención y adaptación adoptadas por el Estado conducirán en primera instancia a la mitigación del riesgo del desplazamiento, incorporando diagnósticos técnicos y participativos que identifiquen los riesgos de desplazamiento por desastres, debido al deterioro o la variabilidad ambiental, teniendo en cuenta los lineamientos internacionales en la materia y garantizando el acceso a la información ambiental para la educación y sensibilización, y con ello, la participación comunitaria. Las políticas y programas de prevención y adaptación deben reconocer que puede existir intersección y confluencia de causas del desplazamiento, estableciendo medidas pertinentes para estos casos.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Parágrafo 1</w:t>
      </w:r>
      <w:r>
        <w:rPr>
          <w:rFonts w:ascii="Arial Narrow" w:eastAsia="Arial Narrow" w:hAnsi="Arial Narrow" w:cs="Arial Narrow"/>
          <w:sz w:val="24"/>
          <w:szCs w:val="24"/>
        </w:rPr>
        <w:t xml:space="preserve">. Las entidades del nivel nacional, departamental y municipal fortalecerán los programas de adaptación y resiliencia al cambio climático con enfoque diferencial y teniendo en cuenta a las poblaciones vulnerables y con menor capacidad de resiliencia, así como a las que tienen un mayor arraigo en el territorio como lo son los pueblos indígenas, afrodescendientes, </w:t>
      </w:r>
      <w:proofErr w:type="spellStart"/>
      <w:r>
        <w:rPr>
          <w:rFonts w:ascii="Arial Narrow" w:eastAsia="Arial Narrow" w:hAnsi="Arial Narrow" w:cs="Arial Narrow"/>
          <w:sz w:val="24"/>
          <w:szCs w:val="24"/>
        </w:rPr>
        <w:t>palenqueros</w:t>
      </w:r>
      <w:proofErr w:type="spellEnd"/>
      <w:r>
        <w:rPr>
          <w:rFonts w:ascii="Arial Narrow" w:eastAsia="Arial Narrow" w:hAnsi="Arial Narrow" w:cs="Arial Narrow"/>
          <w:sz w:val="24"/>
          <w:szCs w:val="24"/>
        </w:rPr>
        <w:t xml:space="preserve">, raizales y comunidades campesinas.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Parágrafo 2</w:t>
      </w:r>
      <w:r>
        <w:rPr>
          <w:rFonts w:ascii="Arial Narrow" w:eastAsia="Arial Narrow" w:hAnsi="Arial Narrow" w:cs="Arial Narrow"/>
          <w:sz w:val="24"/>
          <w:szCs w:val="24"/>
        </w:rPr>
        <w:t xml:space="preserve">. La normatividad para la gestión de desastres y la gestión del cambio climático, debe tener en cuenta el riesgo de desplazamiento por factores ambientales, estableciendo acciones y medidas concretas para enfrentarlo.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Parágrafo 3</w:t>
      </w:r>
      <w:r>
        <w:rPr>
          <w:rFonts w:ascii="Arial Narrow" w:eastAsia="Arial Narrow" w:hAnsi="Arial Narrow" w:cs="Arial Narrow"/>
          <w:sz w:val="24"/>
          <w:szCs w:val="24"/>
        </w:rPr>
        <w:t xml:space="preserve">. Las Autoridades fortalecerán el sistema de alertas tempranas, diseñarán e implementarán planes de contingencia y estrategias de preparación que incluirán simulacros de evacuación, identificación de terrenos para la reubicación y mecanismos de relocalización planificada </w:t>
      </w:r>
    </w:p>
    <w:p w:rsidR="00DD3391" w:rsidRDefault="00CA2042">
      <w:pPr>
        <w:widowControl w:val="0"/>
        <w:shd w:val="clear" w:color="auto" w:fill="FFFFFF"/>
        <w:spacing w:after="200"/>
        <w:jc w:val="both"/>
        <w:rPr>
          <w:rFonts w:ascii="Arial Narrow" w:eastAsia="Arial Narrow" w:hAnsi="Arial Narrow" w:cs="Arial Narrow"/>
          <w:b/>
          <w:sz w:val="24"/>
          <w:szCs w:val="24"/>
          <w:u w:val="single"/>
        </w:rPr>
      </w:pPr>
      <w:r>
        <w:rPr>
          <w:rFonts w:ascii="Arial Narrow" w:eastAsia="Arial Narrow" w:hAnsi="Arial Narrow" w:cs="Arial Narrow"/>
          <w:b/>
          <w:sz w:val="24"/>
          <w:szCs w:val="24"/>
        </w:rPr>
        <w:t>Artículo 8. Obligaciones durante el desplazamiento</w:t>
      </w:r>
      <w:r>
        <w:rPr>
          <w:rFonts w:ascii="Arial Narrow" w:eastAsia="Arial Narrow" w:hAnsi="Arial Narrow" w:cs="Arial Narrow"/>
          <w:sz w:val="24"/>
          <w:szCs w:val="24"/>
        </w:rPr>
        <w:t xml:space="preserve">: </w:t>
      </w:r>
      <w:r>
        <w:rPr>
          <w:rFonts w:ascii="Arial Narrow" w:eastAsia="Arial Narrow" w:hAnsi="Arial Narrow" w:cs="Arial Narrow"/>
          <w:b/>
          <w:sz w:val="24"/>
          <w:szCs w:val="24"/>
        </w:rPr>
        <w:t>protección y asistencia humanitaria</w:t>
      </w:r>
      <w:r>
        <w:rPr>
          <w:rFonts w:ascii="Arial Narrow" w:eastAsia="Arial Narrow" w:hAnsi="Arial Narrow" w:cs="Arial Narrow"/>
          <w:sz w:val="24"/>
          <w:szCs w:val="24"/>
        </w:rPr>
        <w:t>.  El Estado está obligado a garantizar el acceso a alimentos indispensables, agua potable, cobijo y alojamientos básicos, vestido, servicios médicos y de saneamiento, a fin de garantizar una atención humanitaria en condiciones de dignidad, seguridad, y unidad familiar, bajo los principios de participación y voluntariedad.</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Parágrafo 1</w:t>
      </w:r>
      <w:r>
        <w:rPr>
          <w:rFonts w:ascii="Arial Narrow" w:eastAsia="Arial Narrow" w:hAnsi="Arial Narrow" w:cs="Arial Narrow"/>
          <w:sz w:val="24"/>
          <w:szCs w:val="24"/>
        </w:rPr>
        <w:t xml:space="preserve">. </w:t>
      </w:r>
      <w:r>
        <w:rPr>
          <w:rFonts w:ascii="Arial Narrow" w:eastAsia="Arial Narrow" w:hAnsi="Arial Narrow" w:cs="Arial Narrow"/>
          <w:b/>
          <w:sz w:val="24"/>
          <w:szCs w:val="24"/>
        </w:rPr>
        <w:t>Registro.</w:t>
      </w:r>
      <w:r>
        <w:rPr>
          <w:rFonts w:ascii="Arial Narrow" w:eastAsia="Arial Narrow" w:hAnsi="Arial Narrow" w:cs="Arial Narrow"/>
          <w:sz w:val="24"/>
          <w:szCs w:val="24"/>
        </w:rPr>
        <w:t xml:space="preserve"> Para garantizar la satisfacción de los derechos constitucionales de la población desplazada y su atención pertinente y oportuna, el Estado creará un mecanismo administrativo de Registro y</w:t>
      </w: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contará con sistemas adecuados de información sobre la situación de la población desplazada.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2. Obligaciones frente a situaciones de emplazamiento. </w:t>
      </w:r>
      <w:r>
        <w:rPr>
          <w:rFonts w:ascii="Arial Narrow" w:eastAsia="Arial Narrow" w:hAnsi="Arial Narrow" w:cs="Arial Narrow"/>
          <w:sz w:val="24"/>
          <w:szCs w:val="24"/>
        </w:rPr>
        <w:t xml:space="preserve">Cuando se trate de poblaciones afectadas por las causas que provocan el desplazamiento, pero que por su extremo grado de vulnerabilidad o su especial arraigo con el territorio, no pueden desplazarse, el Estado tiene la obligación de garantizar asistencia, atención y protección.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Artículo 9. Obligaciones posteriores al desplazamiento: regreso, reasentamiento y reintegración</w:t>
      </w:r>
      <w:r>
        <w:rPr>
          <w:rFonts w:ascii="Arial Narrow" w:eastAsia="Arial Narrow" w:hAnsi="Arial Narrow" w:cs="Arial Narrow"/>
          <w:sz w:val="24"/>
          <w:szCs w:val="24"/>
        </w:rPr>
        <w:t xml:space="preserve">. Se garantizará el regreso, reintegración y reasentamiento en zonas libres de amenazas antrópicas o naturales y sin afectar determinantes ambientales, a fin de brindar condiciones de seguridad, garantía de derechos y </w:t>
      </w:r>
      <w:r>
        <w:rPr>
          <w:rFonts w:ascii="Arial Narrow" w:eastAsia="Arial Narrow" w:hAnsi="Arial Narrow" w:cs="Arial Narrow"/>
          <w:sz w:val="24"/>
          <w:szCs w:val="24"/>
        </w:rPr>
        <w:lastRenderedPageBreak/>
        <w:t xml:space="preserve">dignidad para las personas, comunidades y familias ubicadas en zonas de alto riesgo no mitigable y desplazados internos como consecuencia de desastres, cambio climático y degradación ambiental, garantizando soluciones duraderas, integrales y enmarcadas en el enfoque de derechos.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Parágrafo 1.</w:t>
      </w:r>
      <w:r>
        <w:rPr>
          <w:rFonts w:ascii="Arial Narrow" w:eastAsia="Arial Narrow" w:hAnsi="Arial Narrow" w:cs="Arial Narrow"/>
          <w:sz w:val="24"/>
          <w:szCs w:val="24"/>
        </w:rPr>
        <w:t xml:space="preserve"> Se garantizará la consulta y participación activa y efectiva de los desplazados en la formulación y ejecución de las soluciones duraderas e integrales relacionadas con su regreso, reasentamiento y reintegración, adecuados a sus realidades sociales y culturales, asegurando la inclusión de sus demandas y perspectivas.</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Parágrafo 2</w:t>
      </w:r>
      <w:r>
        <w:rPr>
          <w:rFonts w:ascii="Arial Narrow" w:eastAsia="Arial Narrow" w:hAnsi="Arial Narrow" w:cs="Arial Narrow"/>
          <w:sz w:val="24"/>
          <w:szCs w:val="24"/>
        </w:rPr>
        <w:t xml:space="preserve">. </w:t>
      </w:r>
      <w:r>
        <w:rPr>
          <w:rFonts w:ascii="Arial Narrow" w:eastAsia="Arial Narrow" w:hAnsi="Arial Narrow" w:cs="Arial Narrow"/>
          <w:b/>
          <w:sz w:val="24"/>
          <w:szCs w:val="24"/>
        </w:rPr>
        <w:t>Atención humanitaria</w:t>
      </w:r>
      <w:r>
        <w:rPr>
          <w:rFonts w:ascii="Arial Narrow" w:eastAsia="Arial Narrow" w:hAnsi="Arial Narrow" w:cs="Arial Narrow"/>
          <w:sz w:val="24"/>
          <w:szCs w:val="24"/>
        </w:rPr>
        <w:t>. Se prestará asistencia a la población retornada, reasentada o reintegrada mientras esta no haya recuperado en la medida de lo posible, sus propiedades, bienes y posesiones, garantizando su derecho a la restitución del patrimonio y la vivienda, y de no ser posible esa recuperación y restitución, se concederá una indemnización adecuada o reparación.</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Parágrafo 3.</w:t>
      </w:r>
      <w:r>
        <w:rPr>
          <w:rFonts w:ascii="Arial Narrow" w:eastAsia="Arial Narrow" w:hAnsi="Arial Narrow" w:cs="Arial Narrow"/>
          <w:sz w:val="24"/>
          <w:szCs w:val="24"/>
        </w:rPr>
        <w:t xml:space="preserve"> Las medidas de reparación integral incluirán no solo la restitución de tierras y bienes, sino también las compensaciones por la pérdida de medios de vida, acceso a servicios básicos, y las afectaciones psicosociales derivadas del desplazamiento. Asimismo, se adoptarán medidas estructurales y territoriales que aseguren la no repetición del desplazamiento, tales como la creación de infraestructuras </w:t>
      </w:r>
      <w:proofErr w:type="spellStart"/>
      <w:r>
        <w:rPr>
          <w:rFonts w:ascii="Arial Narrow" w:eastAsia="Arial Narrow" w:hAnsi="Arial Narrow" w:cs="Arial Narrow"/>
          <w:sz w:val="24"/>
          <w:szCs w:val="24"/>
        </w:rPr>
        <w:t>resilientes</w:t>
      </w:r>
      <w:proofErr w:type="spellEnd"/>
      <w:r>
        <w:rPr>
          <w:rFonts w:ascii="Arial Narrow" w:eastAsia="Arial Narrow" w:hAnsi="Arial Narrow" w:cs="Arial Narrow"/>
          <w:sz w:val="24"/>
          <w:szCs w:val="24"/>
        </w:rPr>
        <w:t>, la promoción de actividades económicas sostenibles, y la participación activa de las comunidades en la toma de decisiones sobre su territorio.</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Parágrafo 4. Seguimiento y control de Zonas de riesgo no mitigable e instrumentos de planificación territorial.</w:t>
      </w:r>
      <w:r>
        <w:rPr>
          <w:rFonts w:ascii="Arial Narrow" w:eastAsia="Arial Narrow" w:hAnsi="Arial Narrow" w:cs="Arial Narrow"/>
          <w:sz w:val="24"/>
          <w:szCs w:val="24"/>
        </w:rPr>
        <w:t xml:space="preserve"> Los predios identificados en alto riesgo no mitigable, serán declarados, conforme a la normatividad vigente, como suelo de protección y zonas de riesgo no mitigable y esa información será tenida en cuenta en todos los instrumentos de planificación territorial. Para garantizar que estas áreas no sean nuevamente ocupadas por la población desplazada u otras comunidades, se crearán estrategias o programas de control y seguimiento a obras de públicas y otras intervenciones en el territorio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Artículo 10. Gestión Social Integral</w:t>
      </w:r>
      <w:r>
        <w:rPr>
          <w:rFonts w:ascii="Arial Narrow" w:eastAsia="Arial Narrow" w:hAnsi="Arial Narrow" w:cs="Arial Narrow"/>
          <w:sz w:val="24"/>
          <w:szCs w:val="24"/>
        </w:rPr>
        <w:t xml:space="preserve">. En el marco del enfoque de derechos, las entidades nacionales y territoriales deberán garantizar a las familias y comunidades desplazadas la oferta institucional necesaria para acceder a los servicios de salud, educación y programas de integración social dirigidos a población vulnerable, entre otros.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Parágrafo. Análisis del Riesgo de Empobrecimiento</w:t>
      </w:r>
      <w:r>
        <w:rPr>
          <w:rFonts w:ascii="Arial Narrow" w:eastAsia="Arial Narrow" w:hAnsi="Arial Narrow" w:cs="Arial Narrow"/>
          <w:sz w:val="24"/>
          <w:szCs w:val="24"/>
        </w:rPr>
        <w:t xml:space="preserve">. En el caso de personas, familias y comunidades desplazadas forzosamente por factores ambientales, pertenecientes a sectores marginados y de bajos ingresos, se priorizará en los diagnósticos, planes y medidas adoptadas, el análisis de riesgo de mayor empobrecimiento debido a la pérdida de tierras, vivienda y medios de producción, pérdida de empleo, y pérdida de acceso a servicios y derechos sociales, colectivos y culturales.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Artículo 11.</w:t>
      </w:r>
      <w:r>
        <w:rPr>
          <w:rFonts w:ascii="Arial Narrow" w:eastAsia="Arial Narrow" w:hAnsi="Arial Narrow" w:cs="Arial Narrow"/>
          <w:sz w:val="24"/>
          <w:szCs w:val="24"/>
        </w:rPr>
        <w:t xml:space="preserve"> </w:t>
      </w:r>
      <w:r>
        <w:rPr>
          <w:rFonts w:ascii="Arial Narrow" w:eastAsia="Arial Narrow" w:hAnsi="Arial Narrow" w:cs="Arial Narrow"/>
          <w:b/>
          <w:sz w:val="24"/>
          <w:szCs w:val="24"/>
        </w:rPr>
        <w:t>Plan Nacional de Implementación del Acuerdo de Escazú</w:t>
      </w:r>
      <w:r>
        <w:rPr>
          <w:rFonts w:ascii="Arial Narrow" w:eastAsia="Arial Narrow" w:hAnsi="Arial Narrow" w:cs="Arial Narrow"/>
          <w:sz w:val="24"/>
          <w:szCs w:val="24"/>
        </w:rPr>
        <w:t xml:space="preserve">. El desplazamiento por factores ambientales se incluirá en el Plan Nacional y en los planes sectoriales de Implementación del Acuerdo de </w:t>
      </w:r>
      <w:r>
        <w:rPr>
          <w:rFonts w:ascii="Arial Narrow" w:eastAsia="Arial Narrow" w:hAnsi="Arial Narrow" w:cs="Arial Narrow"/>
          <w:sz w:val="24"/>
          <w:szCs w:val="24"/>
        </w:rPr>
        <w:lastRenderedPageBreak/>
        <w:t xml:space="preserve">Escazú a fin de garantizar los derechos de acceso a la información, participación y justicia en materia ambiental a la población desplazada o en riesgo de desplazamiento por factores ambientales.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Artículo</w:t>
      </w:r>
      <w:r>
        <w:rPr>
          <w:rFonts w:ascii="Arial Narrow" w:eastAsia="Arial Narrow" w:hAnsi="Arial Narrow" w:cs="Arial Narrow"/>
          <w:sz w:val="24"/>
          <w:szCs w:val="24"/>
        </w:rPr>
        <w:t> </w:t>
      </w:r>
      <w:r>
        <w:rPr>
          <w:rFonts w:ascii="Arial Narrow" w:eastAsia="Arial Narrow" w:hAnsi="Arial Narrow" w:cs="Arial Narrow"/>
          <w:b/>
          <w:sz w:val="24"/>
          <w:szCs w:val="24"/>
        </w:rPr>
        <w:t xml:space="preserve">12. Reglamentación. </w:t>
      </w:r>
      <w:r>
        <w:rPr>
          <w:rFonts w:ascii="Arial Narrow" w:eastAsia="Arial Narrow" w:hAnsi="Arial Narrow" w:cs="Arial Narrow"/>
          <w:sz w:val="24"/>
          <w:szCs w:val="24"/>
        </w:rPr>
        <w:t>La</w:t>
      </w: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Defensoría del Pueblo en articulación con la Unidad de Gestión del Riesgo de Desastres, y el Ministerio del Medio Ambiente, reglamentarán esta ley durante los seis meses siguientes a su entrada en vigencia. </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Artículo 13.</w:t>
      </w:r>
      <w:r>
        <w:rPr>
          <w:rFonts w:ascii="Arial Narrow" w:eastAsia="Arial Narrow" w:hAnsi="Arial Narrow" w:cs="Arial Narrow"/>
          <w:sz w:val="24"/>
          <w:szCs w:val="24"/>
        </w:rPr>
        <w:t xml:space="preserve"> El Gobierno Nacional en articulación con las entidades territoriales y la Unidad Nacional de Protección adoptarán medidas y acciones integrales de protección y apoyo para los líderes y lideresas </w:t>
      </w:r>
      <w:proofErr w:type="spellStart"/>
      <w:proofErr w:type="gramStart"/>
      <w:r>
        <w:rPr>
          <w:rFonts w:ascii="Arial Narrow" w:eastAsia="Arial Narrow" w:hAnsi="Arial Narrow" w:cs="Arial Narrow"/>
          <w:sz w:val="24"/>
          <w:szCs w:val="24"/>
        </w:rPr>
        <w:t>comunitarias,así</w:t>
      </w:r>
      <w:proofErr w:type="spellEnd"/>
      <w:proofErr w:type="gramEnd"/>
      <w:r>
        <w:rPr>
          <w:rFonts w:ascii="Arial Narrow" w:eastAsia="Arial Narrow" w:hAnsi="Arial Narrow" w:cs="Arial Narrow"/>
          <w:sz w:val="24"/>
          <w:szCs w:val="24"/>
        </w:rPr>
        <w:t xml:space="preserve"> como para los defensores y defensoras del medioambiente, que enfrenten riesgos derivados de su labor en la defensa de los derechos humanos de las personas desplazadas por factores ambientales y en la conservación del medioambiente.</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Artículo 14. Seguimiento.</w:t>
      </w:r>
      <w:r>
        <w:rPr>
          <w:rFonts w:ascii="Arial Narrow" w:eastAsia="Arial Narrow" w:hAnsi="Arial Narrow" w:cs="Arial Narrow"/>
          <w:sz w:val="24"/>
          <w:szCs w:val="24"/>
        </w:rPr>
        <w:t xml:space="preserve"> La </w:t>
      </w:r>
      <w:proofErr w:type="gramStart"/>
      <w:r>
        <w:rPr>
          <w:rFonts w:ascii="Arial Narrow" w:eastAsia="Arial Narrow" w:hAnsi="Arial Narrow" w:cs="Arial Narrow"/>
          <w:sz w:val="24"/>
          <w:szCs w:val="24"/>
        </w:rPr>
        <w:t>Procuraduría  y</w:t>
      </w:r>
      <w:proofErr w:type="gramEnd"/>
      <w:r>
        <w:rPr>
          <w:rFonts w:ascii="Arial Narrow" w:eastAsia="Arial Narrow" w:hAnsi="Arial Narrow" w:cs="Arial Narrow"/>
          <w:sz w:val="24"/>
          <w:szCs w:val="24"/>
        </w:rPr>
        <w:t xml:space="preserve">  la Contraloría en  articulación con la Unidad de Gestión del Riesgo de Desastres, y el Ministerio del Medio Ambiente realizarán el seguimiento y monitoreo constante a la implementación de la presente ley, con miras a asegurar la efectividad de las medidas adoptadas y la protección de los derechos de las personas desplazadas por factores ambientales.</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15. Cooperación internacional. </w:t>
      </w:r>
      <w:r>
        <w:rPr>
          <w:rFonts w:ascii="Arial Narrow" w:eastAsia="Arial Narrow" w:hAnsi="Arial Narrow" w:cs="Arial Narrow"/>
          <w:sz w:val="24"/>
          <w:szCs w:val="24"/>
        </w:rPr>
        <w:t xml:space="preserve">El Gobierno Nacional en cabeza del Ministerio de Relaciones Exteriores promoverá la cooperación y colaboración con organizaciones internacionales y otros países para articular esfuerzos, </w:t>
      </w:r>
      <w:proofErr w:type="gramStart"/>
      <w:r>
        <w:rPr>
          <w:rFonts w:ascii="Arial Narrow" w:eastAsia="Arial Narrow" w:hAnsi="Arial Narrow" w:cs="Arial Narrow"/>
          <w:sz w:val="24"/>
          <w:szCs w:val="24"/>
        </w:rPr>
        <w:t>intercambiar  conocimientos</w:t>
      </w:r>
      <w:proofErr w:type="gramEnd"/>
      <w:r>
        <w:rPr>
          <w:rFonts w:ascii="Arial Narrow" w:eastAsia="Arial Narrow" w:hAnsi="Arial Narrow" w:cs="Arial Narrow"/>
          <w:sz w:val="24"/>
          <w:szCs w:val="24"/>
        </w:rPr>
        <w:t xml:space="preserve"> y promover acuerdos respecto al desplazamiento por factores ambientales, buscando su mitigación y garantía de los derechos de los desplazados.</w:t>
      </w:r>
    </w:p>
    <w:p w:rsidR="00DD3391" w:rsidRDefault="00CA2042">
      <w:pPr>
        <w:widowControl w:val="0"/>
        <w:shd w:val="clear" w:color="auto" w:fill="FFFFFF"/>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16. Vigencia.  </w:t>
      </w:r>
      <w:r>
        <w:rPr>
          <w:rFonts w:ascii="Arial Narrow" w:eastAsia="Arial Narrow" w:hAnsi="Arial Narrow" w:cs="Arial Narrow"/>
          <w:sz w:val="24"/>
          <w:szCs w:val="24"/>
        </w:rPr>
        <w:t xml:space="preserve">La presente ley rige a partir de su promulgación y deroga las disposiciones que le sean contrarias. </w:t>
      </w:r>
    </w:p>
    <w:p w:rsidR="00DD3391" w:rsidRDefault="00DD3391">
      <w:pPr>
        <w:widowControl w:val="0"/>
        <w:jc w:val="both"/>
        <w:rPr>
          <w:rFonts w:ascii="Arial Narrow" w:eastAsia="Arial Narrow" w:hAnsi="Arial Narrow" w:cs="Arial Narrow"/>
          <w:sz w:val="24"/>
          <w:szCs w:val="24"/>
        </w:rPr>
      </w:pPr>
    </w:p>
    <w:p w:rsidR="00DD3391" w:rsidRDefault="00DD3391">
      <w:pPr>
        <w:widowControl w:val="0"/>
        <w:jc w:val="both"/>
        <w:rPr>
          <w:rFonts w:ascii="Arial Narrow" w:eastAsia="Arial Narrow" w:hAnsi="Arial Narrow" w:cs="Arial Narrow"/>
          <w:sz w:val="24"/>
          <w:szCs w:val="24"/>
        </w:rPr>
      </w:pPr>
    </w:p>
    <w:p w:rsidR="00DD3391" w:rsidRDefault="00DD3391">
      <w:pPr>
        <w:widowControl w:val="0"/>
        <w:jc w:val="both"/>
        <w:rPr>
          <w:rFonts w:ascii="Arial Narrow" w:eastAsia="Arial Narrow" w:hAnsi="Arial Narrow" w:cs="Arial Narrow"/>
          <w:sz w:val="24"/>
          <w:szCs w:val="24"/>
        </w:rPr>
      </w:pPr>
    </w:p>
    <w:p w:rsidR="00DD3391" w:rsidRDefault="00DD3391">
      <w:pPr>
        <w:widowControl w:val="0"/>
        <w:jc w:val="both"/>
        <w:rPr>
          <w:rFonts w:ascii="Arial Narrow" w:eastAsia="Arial Narrow" w:hAnsi="Arial Narrow" w:cs="Arial Narrow"/>
          <w:sz w:val="24"/>
          <w:szCs w:val="24"/>
        </w:rPr>
      </w:pPr>
    </w:p>
    <w:p w:rsidR="00DD3391" w:rsidRDefault="00CA2042">
      <w:pPr>
        <w:shd w:val="clear" w:color="auto" w:fill="FFFFFF"/>
        <w:spacing w:after="160"/>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w:t>
      </w:r>
    </w:p>
    <w:p w:rsidR="00DD3391" w:rsidRDefault="00CA2042">
      <w:pPr>
        <w:shd w:val="clear" w:color="auto" w:fill="FFFFFF"/>
        <w:jc w:val="both"/>
        <w:rPr>
          <w:rFonts w:ascii="Arial Narrow" w:eastAsia="Arial Narrow" w:hAnsi="Arial Narrow" w:cs="Arial Narrow"/>
          <w:color w:val="222222"/>
          <w:sz w:val="24"/>
          <w:szCs w:val="24"/>
        </w:rPr>
      </w:pPr>
      <w:r>
        <w:rPr>
          <w:rFonts w:ascii="Arial Narrow" w:eastAsia="Arial Narrow" w:hAnsi="Arial Narrow" w:cs="Arial Narrow"/>
          <w:b/>
          <w:color w:val="222222"/>
          <w:sz w:val="24"/>
          <w:szCs w:val="24"/>
        </w:rPr>
        <w:t>PEDRO JOSÉ SUÁREZ VACCA</w:t>
      </w:r>
      <w:r>
        <w:rPr>
          <w:rFonts w:ascii="Arial Narrow" w:eastAsia="Arial Narrow" w:hAnsi="Arial Narrow" w:cs="Arial Narrow"/>
          <w:color w:val="222222"/>
          <w:sz w:val="24"/>
          <w:szCs w:val="24"/>
        </w:rPr>
        <w:t xml:space="preserve"> </w:t>
      </w:r>
    </w:p>
    <w:p w:rsidR="00DD3391" w:rsidRDefault="00CA2042">
      <w:pPr>
        <w:shd w:val="clear" w:color="auto" w:fill="FFFFFF"/>
        <w:jc w:val="both"/>
        <w:rPr>
          <w:rFonts w:ascii="Arial Narrow" w:eastAsia="Arial Narrow" w:hAnsi="Arial Narrow" w:cs="Arial Narrow"/>
          <w:color w:val="222222"/>
          <w:sz w:val="24"/>
          <w:szCs w:val="24"/>
        </w:rPr>
      </w:pPr>
      <w:r>
        <w:rPr>
          <w:rFonts w:ascii="Arial Narrow" w:eastAsia="Arial Narrow" w:hAnsi="Arial Narrow" w:cs="Arial Narrow"/>
          <w:color w:val="222222"/>
          <w:sz w:val="24"/>
          <w:szCs w:val="24"/>
        </w:rPr>
        <w:t>Ponente Único.</w:t>
      </w:r>
    </w:p>
    <w:sectPr w:rsidR="00DD3391">
      <w:headerReference w:type="default" r:id="rId28"/>
      <w:pgSz w:w="12240" w:h="15840"/>
      <w:pgMar w:top="1701" w:right="1440" w:bottom="198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AB6" w:rsidRDefault="009A5AB6">
      <w:pPr>
        <w:spacing w:line="240" w:lineRule="auto"/>
      </w:pPr>
      <w:r>
        <w:separator/>
      </w:r>
    </w:p>
  </w:endnote>
  <w:endnote w:type="continuationSeparator" w:id="0">
    <w:p w:rsidR="009A5AB6" w:rsidRDefault="009A5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AB6" w:rsidRDefault="009A5AB6">
      <w:pPr>
        <w:spacing w:line="240" w:lineRule="auto"/>
      </w:pPr>
      <w:r>
        <w:separator/>
      </w:r>
    </w:p>
  </w:footnote>
  <w:footnote w:type="continuationSeparator" w:id="0">
    <w:p w:rsidR="009A5AB6" w:rsidRDefault="009A5AB6">
      <w:pPr>
        <w:spacing w:line="240" w:lineRule="auto"/>
      </w:pPr>
      <w:r>
        <w:continuationSeparator/>
      </w:r>
    </w:p>
  </w:footnote>
  <w:footnote w:id="1">
    <w:p w:rsidR="00CA2042" w:rsidRPr="00CA2042" w:rsidRDefault="00CA2042" w:rsidP="00CA2042">
      <w:pPr>
        <w:rPr>
          <w:rFonts w:ascii="Arial Narrow" w:hAnsi="Arial Narrow"/>
          <w:sz w:val="20"/>
          <w:szCs w:val="20"/>
        </w:rPr>
      </w:pPr>
      <w:r w:rsidRPr="00CA2042">
        <w:rPr>
          <w:rStyle w:val="Refdenotaalpie"/>
          <w:rFonts w:ascii="Arial Narrow" w:hAnsi="Arial Narrow"/>
        </w:rPr>
        <w:footnoteRef/>
      </w:r>
      <w:r w:rsidRPr="00CA2042">
        <w:rPr>
          <w:rFonts w:ascii="Arial Narrow" w:hAnsi="Arial Narrow"/>
        </w:rPr>
        <w:t xml:space="preserve"> </w:t>
      </w:r>
      <w:r w:rsidRPr="00CA2042">
        <w:rPr>
          <w:rFonts w:ascii="Arial Narrow" w:hAnsi="Arial Narrow"/>
          <w:sz w:val="20"/>
          <w:szCs w:val="20"/>
        </w:rPr>
        <w:t xml:space="preserve">Algunas definiciones y principios citados en este proyecto de ley están basados y/o han sido tomados de documentos oficiales UNGRD, GUIA CIDH, Ley 1523 de 2012, ley 2079 de 2021, ley 1448 de 2011, ley 387 de 1997, principios </w:t>
      </w:r>
      <w:proofErr w:type="spellStart"/>
      <w:r w:rsidRPr="00CA2042">
        <w:rPr>
          <w:rFonts w:ascii="Arial Narrow" w:hAnsi="Arial Narrow"/>
          <w:sz w:val="20"/>
          <w:szCs w:val="20"/>
        </w:rPr>
        <w:t>Deng</w:t>
      </w:r>
      <w:proofErr w:type="spellEnd"/>
      <w:r w:rsidRPr="00CA2042">
        <w:rPr>
          <w:rFonts w:ascii="Arial Narrow" w:hAnsi="Arial Narrow"/>
          <w:sz w:val="20"/>
          <w:szCs w:val="20"/>
        </w:rPr>
        <w:t xml:space="preserve"> y </w:t>
      </w:r>
      <w:proofErr w:type="spellStart"/>
      <w:r w:rsidRPr="00CA2042">
        <w:rPr>
          <w:rFonts w:ascii="Arial Narrow" w:hAnsi="Arial Narrow"/>
          <w:sz w:val="20"/>
          <w:szCs w:val="20"/>
        </w:rPr>
        <w:t>Pinheiro</w:t>
      </w:r>
      <w:proofErr w:type="spellEnd"/>
      <w:r w:rsidRPr="00CA2042">
        <w:rPr>
          <w:rFonts w:ascii="Arial Narrow" w:hAnsi="Arial Narrow"/>
          <w:sz w:val="20"/>
          <w:szCs w:val="20"/>
        </w:rPr>
        <w:t>, Sentencias de la Corte Constitucional T 123 de 2</w:t>
      </w:r>
      <w:r>
        <w:rPr>
          <w:rFonts w:ascii="Arial Narrow" w:hAnsi="Arial Narrow"/>
          <w:sz w:val="20"/>
          <w:szCs w:val="20"/>
        </w:rPr>
        <w:t>024, T 369 de 2021, entre otros.</w:t>
      </w:r>
    </w:p>
  </w:footnote>
  <w:footnote w:id="2">
    <w:p w:rsidR="00CA2042" w:rsidRPr="00CA2042" w:rsidRDefault="00CA2042">
      <w:pPr>
        <w:pStyle w:val="Textonotapie"/>
        <w:rPr>
          <w:rFonts w:ascii="Arial Narrow" w:hAnsi="Arial Narrow"/>
          <w:lang w:val="es-MX"/>
        </w:rPr>
      </w:pPr>
      <w:r w:rsidRPr="00CA2042">
        <w:rPr>
          <w:rStyle w:val="Refdenotaalpie"/>
          <w:rFonts w:ascii="Arial Narrow" w:hAnsi="Arial Narrow"/>
        </w:rPr>
        <w:footnoteRef/>
      </w:r>
      <w:r w:rsidRPr="00CA2042">
        <w:rPr>
          <w:rFonts w:ascii="Arial Narrow" w:hAnsi="Arial Narrow"/>
        </w:rPr>
        <w:t xml:space="preserve"> T 123/24</w:t>
      </w:r>
    </w:p>
  </w:footnote>
  <w:footnote w:id="3">
    <w:p w:rsidR="00CA2042" w:rsidRPr="00CA2042" w:rsidRDefault="00CA2042">
      <w:pPr>
        <w:pStyle w:val="Textonotapie"/>
        <w:rPr>
          <w:lang w:val="es-MX"/>
        </w:rPr>
      </w:pPr>
      <w:r w:rsidRPr="00CA2042">
        <w:rPr>
          <w:rStyle w:val="Refdenotaalpie"/>
          <w:rFonts w:ascii="Arial Narrow" w:hAnsi="Arial Narrow"/>
        </w:rPr>
        <w:footnoteRef/>
      </w:r>
      <w:r w:rsidRPr="00CA2042">
        <w:rPr>
          <w:rFonts w:ascii="Arial Narrow" w:hAnsi="Arial Narrow"/>
        </w:rPr>
        <w:t xml:space="preserve"> Corte Constitucional. Sentencias SU-1150 y T-1635 de 2000, T-327 y T-1346 de 2001, T-088 de 2002, T-268 de 2003 y T-790 de 2003 En https://www.uexternado.edu.co/wp-content/uploads/2021/12/Derechos-fundamentales-de-la-poblacion-desplazada.pdf</w:t>
      </w:r>
    </w:p>
  </w:footnote>
  <w:footnote w:id="4">
    <w:p w:rsidR="00CA2042" w:rsidRPr="00CA2042" w:rsidRDefault="00CA2042">
      <w:pPr>
        <w:pStyle w:val="Textonotapie"/>
        <w:rPr>
          <w:rFonts w:ascii="Arial Narrow" w:hAnsi="Arial Narrow"/>
          <w:lang w:val="es-MX"/>
        </w:rPr>
      </w:pPr>
      <w:r w:rsidRPr="00CA2042">
        <w:rPr>
          <w:rStyle w:val="Refdenotaalpie"/>
          <w:rFonts w:ascii="Arial Narrow" w:hAnsi="Arial Narrow"/>
        </w:rPr>
        <w:footnoteRef/>
      </w:r>
      <w:r w:rsidRPr="00CA2042">
        <w:rPr>
          <w:rFonts w:ascii="Arial Narrow" w:hAnsi="Arial Narrow"/>
        </w:rPr>
        <w:t xml:space="preserve"> T 123 de 2024</w:t>
      </w:r>
    </w:p>
  </w:footnote>
  <w:footnote w:id="5">
    <w:p w:rsidR="00CA2042" w:rsidRPr="00CA2042" w:rsidRDefault="00CA2042">
      <w:pPr>
        <w:pStyle w:val="Textonotapie"/>
        <w:rPr>
          <w:rFonts w:ascii="Arial Narrow" w:hAnsi="Arial Narrow"/>
          <w:lang w:val="es-MX"/>
        </w:rPr>
      </w:pPr>
      <w:r w:rsidRPr="00CA2042">
        <w:rPr>
          <w:rStyle w:val="Refdenotaalpie"/>
          <w:rFonts w:ascii="Arial Narrow" w:hAnsi="Arial Narrow"/>
        </w:rPr>
        <w:footnoteRef/>
      </w:r>
      <w:r w:rsidRPr="00CA2042">
        <w:rPr>
          <w:rFonts w:ascii="Arial Narrow" w:hAnsi="Arial Narrow"/>
        </w:rPr>
        <w:t xml:space="preserve"> Sentencia T 123/24 (subrayado propio)</w:t>
      </w:r>
    </w:p>
  </w:footnote>
  <w:footnote w:id="6">
    <w:p w:rsidR="00CA2042" w:rsidRPr="00CA2042" w:rsidRDefault="00CA2042">
      <w:pPr>
        <w:pStyle w:val="Textonotapie"/>
        <w:rPr>
          <w:rFonts w:ascii="Arial Narrow" w:hAnsi="Arial Narrow"/>
          <w:lang w:val="es-MX"/>
        </w:rPr>
      </w:pPr>
      <w:r w:rsidRPr="00CA2042">
        <w:rPr>
          <w:rStyle w:val="Refdenotaalpie"/>
          <w:rFonts w:ascii="Arial Narrow" w:hAnsi="Arial Narrow"/>
        </w:rPr>
        <w:footnoteRef/>
      </w:r>
      <w:r w:rsidRPr="00CA2042">
        <w:rPr>
          <w:rFonts w:ascii="Arial Narrow" w:hAnsi="Arial Narrow"/>
        </w:rPr>
        <w:t xml:space="preserve"> T 123 de 2024</w:t>
      </w:r>
    </w:p>
  </w:footnote>
  <w:footnote w:id="7">
    <w:p w:rsidR="00CA2042" w:rsidRPr="00CA2042" w:rsidRDefault="00CA2042">
      <w:pPr>
        <w:pStyle w:val="Textonotapie"/>
        <w:rPr>
          <w:lang w:val="es-MX"/>
        </w:rPr>
      </w:pPr>
      <w:r w:rsidRPr="00CA2042">
        <w:rPr>
          <w:rStyle w:val="Refdenotaalpie"/>
          <w:rFonts w:ascii="Arial Narrow" w:hAnsi="Arial Narrow"/>
        </w:rPr>
        <w:footnoteRef/>
      </w:r>
      <w:r w:rsidRPr="00CA2042">
        <w:rPr>
          <w:rFonts w:ascii="Arial Narrow" w:hAnsi="Arial Narrow"/>
        </w:rPr>
        <w:t xml:space="preserve"> </w:t>
      </w:r>
      <w:proofErr w:type="spellStart"/>
      <w:r w:rsidRPr="00CA2042">
        <w:rPr>
          <w:rFonts w:ascii="Arial Narrow" w:hAnsi="Arial Narrow"/>
        </w:rPr>
        <w:t>Ibid</w:t>
      </w:r>
      <w:proofErr w:type="spellEnd"/>
    </w:p>
  </w:footnote>
  <w:footnote w:id="8">
    <w:p w:rsidR="00CA2042" w:rsidRPr="00CA2042" w:rsidRDefault="00CA2042">
      <w:pPr>
        <w:pStyle w:val="Textonotapie"/>
        <w:rPr>
          <w:lang w:val="es-MX"/>
        </w:rPr>
      </w:pPr>
      <w:r>
        <w:rPr>
          <w:rStyle w:val="Refdenotaalpie"/>
        </w:rPr>
        <w:footnoteRef/>
      </w:r>
      <w:r>
        <w:t xml:space="preserve"> </w:t>
      </w:r>
      <w:proofErr w:type="spellStart"/>
      <w:r w:rsidRPr="00CA2042">
        <w:rPr>
          <w:rFonts w:ascii="Arial Narrow" w:hAnsi="Arial Narrow"/>
        </w:rPr>
        <w:t>Ibid</w:t>
      </w:r>
      <w:proofErr w:type="spellEnd"/>
    </w:p>
  </w:footnote>
  <w:footnote w:id="9">
    <w:p w:rsidR="004B45F5" w:rsidRPr="004B45F5" w:rsidRDefault="00CA2042" w:rsidP="004B45F5">
      <w:pPr>
        <w:pBdr>
          <w:top w:val="nil"/>
          <w:left w:val="nil"/>
          <w:bottom w:val="nil"/>
          <w:right w:val="nil"/>
          <w:between w:val="nil"/>
        </w:pBdr>
        <w:spacing w:line="240" w:lineRule="auto"/>
        <w:jc w:val="both"/>
        <w:rPr>
          <w:rFonts w:ascii="Arial Narrow" w:hAnsi="Arial Narrow"/>
          <w:color w:val="000000"/>
          <w:sz w:val="20"/>
          <w:szCs w:val="20"/>
        </w:rPr>
      </w:pPr>
      <w:r w:rsidRPr="004B45F5">
        <w:rPr>
          <w:rStyle w:val="Refdenotaalpie"/>
          <w:rFonts w:ascii="Arial Narrow" w:hAnsi="Arial Narrow"/>
          <w:sz w:val="20"/>
          <w:szCs w:val="20"/>
        </w:rPr>
        <w:footnoteRef/>
      </w:r>
      <w:r w:rsidRPr="004B45F5">
        <w:rPr>
          <w:rFonts w:ascii="Arial Narrow" w:hAnsi="Arial Narrow"/>
          <w:color w:val="000000"/>
          <w:sz w:val="20"/>
          <w:szCs w:val="20"/>
        </w:rPr>
        <w:t>https://www.iom.int/es/news/de-acuerdo-con-informe-del-idmc-en-2022-hubo-una-cifra-record-de-609-millon</w:t>
      </w:r>
      <w:r w:rsidR="004B45F5" w:rsidRPr="004B45F5">
        <w:rPr>
          <w:rFonts w:ascii="Arial Narrow" w:hAnsi="Arial Narrow"/>
          <w:color w:val="000000"/>
          <w:sz w:val="20"/>
          <w:szCs w:val="20"/>
        </w:rPr>
        <w:t>es-de-desplazamientos-internos.</w:t>
      </w:r>
    </w:p>
  </w:footnote>
  <w:footnote w:id="10">
    <w:p w:rsidR="00CA2042" w:rsidRPr="004B45F5" w:rsidRDefault="00CA2042" w:rsidP="004B45F5">
      <w:pPr>
        <w:pBdr>
          <w:top w:val="nil"/>
          <w:left w:val="nil"/>
          <w:bottom w:val="nil"/>
          <w:right w:val="nil"/>
          <w:between w:val="nil"/>
        </w:pBdr>
        <w:spacing w:line="240" w:lineRule="auto"/>
        <w:jc w:val="both"/>
        <w:rPr>
          <w:rFonts w:ascii="Arial Narrow" w:eastAsia="Times New Roman" w:hAnsi="Arial Narrow" w:cs="Times New Roman"/>
          <w:color w:val="000000"/>
          <w:sz w:val="20"/>
          <w:szCs w:val="20"/>
        </w:rPr>
      </w:pPr>
      <w:r w:rsidRPr="004B45F5">
        <w:rPr>
          <w:rStyle w:val="Refdenotaalpie"/>
          <w:rFonts w:ascii="Arial Narrow" w:hAnsi="Arial Narrow"/>
          <w:sz w:val="20"/>
          <w:szCs w:val="20"/>
        </w:rPr>
        <w:footnoteRef/>
      </w:r>
      <w:r w:rsidRPr="004B45F5">
        <w:rPr>
          <w:rFonts w:ascii="Arial Narrow" w:hAnsi="Arial Narrow"/>
          <w:sz w:val="20"/>
          <w:szCs w:val="20"/>
        </w:rPr>
        <w:t xml:space="preserve"> </w:t>
      </w:r>
      <w:r w:rsidR="004B45F5" w:rsidRPr="004B45F5">
        <w:rPr>
          <w:rFonts w:ascii="Arial Narrow" w:eastAsia="Times New Roman" w:hAnsi="Arial Narrow" w:cs="Times New Roman"/>
          <w:color w:val="000000"/>
          <w:sz w:val="20"/>
          <w:szCs w:val="20"/>
        </w:rPr>
        <w:t xml:space="preserve"> </w:t>
      </w:r>
      <w:proofErr w:type="spellStart"/>
      <w:r w:rsidR="004B45F5" w:rsidRPr="004B45F5">
        <w:rPr>
          <w:rFonts w:ascii="Arial Narrow" w:eastAsia="Times New Roman" w:hAnsi="Arial Narrow" w:cs="Times New Roman"/>
          <w:color w:val="000000"/>
          <w:sz w:val="20"/>
          <w:szCs w:val="20"/>
        </w:rPr>
        <w:t>McCarter</w:t>
      </w:r>
      <w:proofErr w:type="spellEnd"/>
      <w:r w:rsidR="004B45F5" w:rsidRPr="004B45F5">
        <w:rPr>
          <w:rFonts w:ascii="Arial Narrow" w:eastAsia="Times New Roman" w:hAnsi="Arial Narrow" w:cs="Times New Roman"/>
          <w:color w:val="000000"/>
          <w:sz w:val="20"/>
          <w:szCs w:val="20"/>
        </w:rPr>
        <w:t>, Gabriela. </w:t>
      </w:r>
      <w:r w:rsidR="004B45F5" w:rsidRPr="004B45F5">
        <w:rPr>
          <w:rFonts w:ascii="Arial Narrow" w:eastAsia="Times New Roman" w:hAnsi="Arial Narrow" w:cs="Times New Roman"/>
          <w:i/>
          <w:color w:val="000000"/>
          <w:sz w:val="20"/>
          <w:szCs w:val="20"/>
        </w:rPr>
        <w:t>América Latina ante el Nuevo “Síndrome de la Rana Hervida”: Desplazamiento Forzado por cuestiones ambientales.</w:t>
      </w:r>
      <w:r w:rsidR="004B45F5" w:rsidRPr="004B45F5">
        <w:rPr>
          <w:rFonts w:ascii="Arial Narrow" w:eastAsia="Times New Roman" w:hAnsi="Arial Narrow" w:cs="Times New Roman"/>
          <w:color w:val="000000"/>
          <w:sz w:val="20"/>
          <w:szCs w:val="20"/>
        </w:rPr>
        <w:t xml:space="preserve"> Agenda Estado de Derecho. 2024/06/06. Disponible en </w:t>
      </w:r>
      <w:hyperlink r:id="rId1">
        <w:r w:rsidR="004B45F5" w:rsidRPr="004B45F5">
          <w:rPr>
            <w:rFonts w:ascii="Arial Narrow" w:eastAsia="Times New Roman" w:hAnsi="Arial Narrow" w:cs="Times New Roman"/>
            <w:color w:val="0000FF"/>
            <w:sz w:val="20"/>
            <w:szCs w:val="20"/>
            <w:u w:val="single"/>
          </w:rPr>
          <w:t>https://agendaestadodederecho.com/desplazamiento-forzado-por-cuestiones-ambientales/</w:t>
        </w:r>
      </w:hyperlink>
    </w:p>
  </w:footnote>
  <w:footnote w:id="11">
    <w:p w:rsidR="004B45F5" w:rsidRPr="004B45F5" w:rsidRDefault="004B45F5" w:rsidP="004B45F5">
      <w:pPr>
        <w:pStyle w:val="Textonotapie"/>
        <w:jc w:val="both"/>
        <w:rPr>
          <w:rFonts w:ascii="Arial Narrow" w:hAnsi="Arial Narrow"/>
          <w:lang w:val="es-MX"/>
        </w:rPr>
      </w:pPr>
      <w:r w:rsidRPr="004B45F5">
        <w:rPr>
          <w:rStyle w:val="Refdenotaalpie"/>
          <w:rFonts w:ascii="Arial Narrow" w:hAnsi="Arial Narrow"/>
        </w:rPr>
        <w:footnoteRef/>
      </w:r>
      <w:r w:rsidRPr="004B45F5">
        <w:rPr>
          <w:rFonts w:ascii="Arial Narrow" w:hAnsi="Arial Narrow"/>
        </w:rPr>
        <w:t xml:space="preserve"> </w:t>
      </w:r>
      <w:r w:rsidRPr="004B45F5">
        <w:rPr>
          <w:rFonts w:ascii="Arial Narrow" w:eastAsia="Times New Roman" w:hAnsi="Arial Narrow" w:cs="Times New Roman"/>
          <w:color w:val="000000"/>
        </w:rPr>
        <w:t>https://www.uniandes.edu.co/es/noticias/ciencias-biologicas/el-fenomeno-del-desplazamiento-por-factores-ambientales</w:t>
      </w:r>
    </w:p>
  </w:footnote>
  <w:footnote w:id="12">
    <w:p w:rsidR="004B45F5" w:rsidRPr="004B45F5" w:rsidRDefault="004B45F5" w:rsidP="004B45F5">
      <w:pPr>
        <w:pBdr>
          <w:top w:val="nil"/>
          <w:left w:val="nil"/>
          <w:bottom w:val="nil"/>
          <w:right w:val="nil"/>
          <w:between w:val="nil"/>
        </w:pBdr>
        <w:spacing w:line="240" w:lineRule="auto"/>
        <w:jc w:val="both"/>
        <w:rPr>
          <w:rFonts w:ascii="Arial Narrow" w:eastAsia="Times New Roman" w:hAnsi="Arial Narrow" w:cs="Times New Roman"/>
          <w:color w:val="000000"/>
          <w:sz w:val="20"/>
          <w:szCs w:val="20"/>
        </w:rPr>
      </w:pPr>
      <w:r w:rsidRPr="004B45F5">
        <w:rPr>
          <w:rStyle w:val="Refdenotaalpie"/>
          <w:rFonts w:ascii="Arial Narrow" w:hAnsi="Arial Narrow"/>
          <w:sz w:val="20"/>
          <w:szCs w:val="20"/>
        </w:rPr>
        <w:footnoteRef/>
      </w:r>
      <w:r w:rsidRPr="004B45F5">
        <w:rPr>
          <w:rFonts w:ascii="Arial Narrow" w:hAnsi="Arial Narrow"/>
          <w:sz w:val="20"/>
          <w:szCs w:val="20"/>
        </w:rPr>
        <w:t xml:space="preserve"> </w:t>
      </w:r>
      <w:r w:rsidRPr="004B45F5">
        <w:rPr>
          <w:rFonts w:ascii="Arial Narrow" w:eastAsia="Times New Roman" w:hAnsi="Arial Narrow" w:cs="Times New Roman"/>
          <w:color w:val="000000"/>
          <w:sz w:val="20"/>
          <w:szCs w:val="20"/>
        </w:rPr>
        <w:t>Otras sentencias que amparan derechos de personas que habitan en zonas de alto riesgo: Sentencias T-585 de 2008, T-624 de 2011, T-816 de 2012, T-046 de 2015 y T-327 de 2018; afectadas por eventos climáticos extremos: T 530 de 2011, T-295 de 2013, T- 355 de 2013, T -369 de 2021</w:t>
      </w:r>
    </w:p>
  </w:footnote>
  <w:footnote w:id="13">
    <w:p w:rsidR="004B45F5" w:rsidRPr="004B45F5" w:rsidRDefault="004B45F5" w:rsidP="004B45F5">
      <w:pPr>
        <w:pStyle w:val="Textonotapie"/>
        <w:jc w:val="both"/>
        <w:rPr>
          <w:lang w:val="es-MX"/>
        </w:rPr>
      </w:pPr>
      <w:r w:rsidRPr="004B45F5">
        <w:rPr>
          <w:rStyle w:val="Refdenotaalpie"/>
          <w:rFonts w:ascii="Arial Narrow" w:hAnsi="Arial Narrow"/>
        </w:rPr>
        <w:footnoteRef/>
      </w:r>
      <w:r w:rsidRPr="004B45F5">
        <w:rPr>
          <w:rFonts w:ascii="Arial Narrow" w:hAnsi="Arial Narrow"/>
        </w:rPr>
        <w:t xml:space="preserve"> </w:t>
      </w:r>
      <w:r w:rsidRPr="004B45F5">
        <w:rPr>
          <w:rFonts w:ascii="Arial Narrow" w:eastAsia="Times New Roman" w:hAnsi="Arial Narrow" w:cs="Times New Roman"/>
          <w:color w:val="000000"/>
        </w:rPr>
        <w:t>Sentencia T 123/24</w:t>
      </w:r>
    </w:p>
  </w:footnote>
  <w:footnote w:id="14">
    <w:p w:rsidR="004B45F5" w:rsidRPr="004B45F5" w:rsidRDefault="004B45F5" w:rsidP="004B45F5">
      <w:pPr>
        <w:pStyle w:val="Textonotapie"/>
        <w:jc w:val="both"/>
        <w:rPr>
          <w:rFonts w:ascii="Arial Narrow" w:hAnsi="Arial Narrow"/>
          <w:lang w:val="es-MX"/>
        </w:rPr>
      </w:pPr>
      <w:r w:rsidRPr="004B45F5">
        <w:rPr>
          <w:rStyle w:val="Refdenotaalpie"/>
          <w:rFonts w:ascii="Arial Narrow" w:hAnsi="Arial Narrow"/>
        </w:rPr>
        <w:footnoteRef/>
      </w:r>
      <w:r w:rsidRPr="004B45F5">
        <w:rPr>
          <w:rFonts w:ascii="Arial Narrow" w:hAnsi="Arial Narrow"/>
        </w:rPr>
        <w:t xml:space="preserve"> </w:t>
      </w:r>
      <w:r w:rsidRPr="004B45F5">
        <w:rPr>
          <w:rFonts w:ascii="Arial Narrow" w:eastAsia="Times New Roman" w:hAnsi="Arial Narrow" w:cs="Times New Roman"/>
          <w:color w:val="000000"/>
        </w:rPr>
        <w:t>Sentencia T 305 de 2024</w:t>
      </w:r>
    </w:p>
  </w:footnote>
  <w:footnote w:id="15">
    <w:p w:rsidR="004B45F5" w:rsidRPr="004B45F5" w:rsidRDefault="004B45F5" w:rsidP="004B45F5">
      <w:pPr>
        <w:pStyle w:val="Textonotapie"/>
        <w:jc w:val="both"/>
        <w:rPr>
          <w:rFonts w:ascii="Arial Narrow" w:hAnsi="Arial Narrow"/>
          <w:lang w:val="es-MX"/>
        </w:rPr>
      </w:pPr>
      <w:r w:rsidRPr="004B45F5">
        <w:rPr>
          <w:rStyle w:val="Refdenotaalpie"/>
          <w:rFonts w:ascii="Arial Narrow" w:hAnsi="Arial Narrow"/>
        </w:rPr>
        <w:footnoteRef/>
      </w:r>
      <w:r w:rsidRPr="004B45F5">
        <w:rPr>
          <w:rFonts w:ascii="Arial Narrow" w:hAnsi="Arial Narrow"/>
        </w:rPr>
        <w:t xml:space="preserve"> </w:t>
      </w:r>
      <w:r w:rsidRPr="004B45F5">
        <w:rPr>
          <w:rFonts w:ascii="Arial Narrow" w:eastAsia="Times New Roman" w:hAnsi="Arial Narrow" w:cs="Times New Roman"/>
          <w:color w:val="000000"/>
        </w:rPr>
        <w:t>Sentencia T 123 de 2024 (subrayado propio)</w:t>
      </w:r>
    </w:p>
  </w:footnote>
  <w:footnote w:id="16">
    <w:p w:rsidR="004B45F5" w:rsidRPr="004B45F5" w:rsidRDefault="004B45F5" w:rsidP="004B45F5">
      <w:pPr>
        <w:pStyle w:val="Textonotapie"/>
        <w:jc w:val="both"/>
        <w:rPr>
          <w:rFonts w:ascii="Arial Narrow" w:hAnsi="Arial Narrow"/>
          <w:lang w:val="es-MX"/>
        </w:rPr>
      </w:pPr>
      <w:r w:rsidRPr="004B45F5">
        <w:rPr>
          <w:rStyle w:val="Refdenotaalpie"/>
          <w:rFonts w:ascii="Arial Narrow" w:hAnsi="Arial Narrow"/>
        </w:rPr>
        <w:footnoteRef/>
      </w:r>
      <w:r w:rsidRPr="004B45F5">
        <w:rPr>
          <w:rFonts w:ascii="Arial Narrow" w:hAnsi="Arial Narrow"/>
        </w:rPr>
        <w:t xml:space="preserve"> </w:t>
      </w:r>
      <w:r w:rsidRPr="004B45F5">
        <w:rPr>
          <w:rFonts w:ascii="Arial Narrow" w:eastAsia="Times New Roman" w:hAnsi="Arial Narrow" w:cs="Times New Roman"/>
          <w:color w:val="000000"/>
        </w:rPr>
        <w:t>Oficina de las Naciones Unidas para la Reducción del Riesgo de Desastres [UNDRR], 2020</w:t>
      </w:r>
    </w:p>
  </w:footnote>
  <w:footnote w:id="17">
    <w:p w:rsidR="004B45F5" w:rsidRPr="004B45F5" w:rsidRDefault="004B45F5" w:rsidP="004B45F5">
      <w:pPr>
        <w:pBdr>
          <w:top w:val="nil"/>
          <w:left w:val="nil"/>
          <w:bottom w:val="nil"/>
          <w:right w:val="nil"/>
          <w:between w:val="nil"/>
        </w:pBdr>
        <w:spacing w:line="240" w:lineRule="auto"/>
        <w:jc w:val="both"/>
        <w:rPr>
          <w:rFonts w:ascii="Arial Narrow" w:hAnsi="Arial Narrow"/>
          <w:color w:val="000000"/>
          <w:sz w:val="20"/>
          <w:szCs w:val="20"/>
        </w:rPr>
      </w:pPr>
      <w:r w:rsidRPr="004B45F5">
        <w:rPr>
          <w:rStyle w:val="Refdenotaalpie"/>
          <w:rFonts w:ascii="Arial Narrow" w:hAnsi="Arial Narrow"/>
        </w:rPr>
        <w:footnoteRef/>
      </w:r>
      <w:r w:rsidRPr="004B45F5">
        <w:rPr>
          <w:rFonts w:ascii="Arial Narrow" w:hAnsi="Arial Narrow"/>
        </w:rPr>
        <w:t xml:space="preserve"> </w:t>
      </w:r>
      <w:proofErr w:type="spellStart"/>
      <w:r w:rsidRPr="004B45F5">
        <w:rPr>
          <w:rFonts w:ascii="Arial Narrow" w:hAnsi="Arial Narrow"/>
          <w:color w:val="000000"/>
          <w:sz w:val="20"/>
          <w:szCs w:val="20"/>
        </w:rPr>
        <w:t>Canimance</w:t>
      </w:r>
      <w:proofErr w:type="spellEnd"/>
      <w:r w:rsidRPr="004B45F5">
        <w:rPr>
          <w:rFonts w:ascii="Arial Narrow" w:hAnsi="Arial Narrow"/>
          <w:color w:val="000000"/>
          <w:sz w:val="20"/>
          <w:szCs w:val="20"/>
        </w:rPr>
        <w:t xml:space="preserve"> López, Jorge y López </w:t>
      </w:r>
      <w:proofErr w:type="spellStart"/>
      <w:r w:rsidRPr="004B45F5">
        <w:rPr>
          <w:rFonts w:ascii="Arial Narrow" w:hAnsi="Arial Narrow"/>
          <w:color w:val="000000"/>
          <w:sz w:val="20"/>
          <w:szCs w:val="20"/>
        </w:rPr>
        <w:t>López</w:t>
      </w:r>
      <w:proofErr w:type="spellEnd"/>
      <w:r w:rsidRPr="004B45F5">
        <w:rPr>
          <w:rFonts w:ascii="Arial Narrow" w:hAnsi="Arial Narrow"/>
          <w:color w:val="000000"/>
          <w:sz w:val="20"/>
          <w:szCs w:val="20"/>
        </w:rPr>
        <w:t xml:space="preserve"> </w:t>
      </w:r>
      <w:proofErr w:type="spellStart"/>
      <w:r w:rsidRPr="004B45F5">
        <w:rPr>
          <w:rFonts w:ascii="Arial Narrow" w:hAnsi="Arial Narrow"/>
          <w:color w:val="000000"/>
          <w:sz w:val="20"/>
          <w:szCs w:val="20"/>
        </w:rPr>
        <w:t>Jose</w:t>
      </w:r>
      <w:proofErr w:type="spellEnd"/>
      <w:r w:rsidRPr="004B45F5">
        <w:rPr>
          <w:rFonts w:ascii="Arial Narrow" w:hAnsi="Arial Narrow"/>
          <w:color w:val="000000"/>
          <w:sz w:val="20"/>
          <w:szCs w:val="20"/>
        </w:rPr>
        <w:t xml:space="preserve"> Luis. Reasentamientos post desastre en Colombia. El caso de Mocoa, Putumayo</w:t>
      </w:r>
    </w:p>
  </w:footnote>
  <w:footnote w:id="18">
    <w:p w:rsidR="004B45F5" w:rsidRPr="004B45F5" w:rsidRDefault="004B45F5" w:rsidP="004B45F5">
      <w:pPr>
        <w:jc w:val="both"/>
        <w:rPr>
          <w:rFonts w:ascii="Arial Narrow" w:hAnsi="Arial Narrow"/>
          <w:sz w:val="20"/>
          <w:szCs w:val="20"/>
        </w:rPr>
      </w:pPr>
      <w:r w:rsidRPr="004B45F5">
        <w:rPr>
          <w:rStyle w:val="Refdenotaalpie"/>
          <w:rFonts w:ascii="Arial Narrow" w:hAnsi="Arial Narrow"/>
        </w:rPr>
        <w:footnoteRef/>
      </w:r>
      <w:r w:rsidRPr="004B45F5">
        <w:rPr>
          <w:rFonts w:ascii="Arial Narrow" w:hAnsi="Arial Narrow"/>
        </w:rPr>
        <w:t xml:space="preserve"> </w:t>
      </w:r>
      <w:r w:rsidRPr="004B45F5">
        <w:rPr>
          <w:rFonts w:ascii="Arial Narrow" w:hAnsi="Arial Narrow"/>
          <w:sz w:val="20"/>
          <w:szCs w:val="20"/>
        </w:rPr>
        <w:t xml:space="preserve">Castillo Cubillos, Mónica Alexandra 2018. Dilemas de la participación en políticas públicas de reasentamiento humano: falla en el diseño del Plan </w:t>
      </w:r>
      <w:proofErr w:type="spellStart"/>
      <w:r w:rsidRPr="004B45F5">
        <w:rPr>
          <w:rFonts w:ascii="Arial Narrow" w:hAnsi="Arial Narrow"/>
          <w:sz w:val="20"/>
          <w:szCs w:val="20"/>
        </w:rPr>
        <w:t>Jarillón</w:t>
      </w:r>
      <w:proofErr w:type="spellEnd"/>
      <w:r w:rsidRPr="004B45F5">
        <w:rPr>
          <w:rFonts w:ascii="Arial Narrow" w:hAnsi="Arial Narrow"/>
          <w:sz w:val="20"/>
          <w:szCs w:val="20"/>
        </w:rPr>
        <w:t xml:space="preserve"> de Cali (2012-2017) En https://repositorio.flacsoandes.edu.ec/bitstream/10469/13560/14/TFLACSO-2018MACC.pdf</w:t>
      </w:r>
    </w:p>
    <w:p w:rsidR="004B45F5" w:rsidRPr="004B45F5" w:rsidRDefault="004B45F5">
      <w:pPr>
        <w:pStyle w:val="Textonotapie"/>
        <w:rPr>
          <w:lang w:val="es-MX"/>
        </w:rPr>
      </w:pPr>
    </w:p>
  </w:footnote>
  <w:footnote w:id="19">
    <w:p w:rsidR="004B45F5" w:rsidRPr="004B45F5" w:rsidRDefault="004B45F5" w:rsidP="004B45F5">
      <w:pPr>
        <w:pBdr>
          <w:top w:val="nil"/>
          <w:left w:val="nil"/>
          <w:bottom w:val="nil"/>
          <w:right w:val="nil"/>
          <w:between w:val="nil"/>
        </w:pBdr>
        <w:spacing w:line="240" w:lineRule="auto"/>
        <w:jc w:val="both"/>
        <w:rPr>
          <w:rFonts w:ascii="Arial Narrow" w:eastAsia="Times New Roman" w:hAnsi="Arial Narrow" w:cs="Times New Roman"/>
          <w:color w:val="000000"/>
          <w:sz w:val="20"/>
          <w:szCs w:val="20"/>
          <w:lang w:val="en-US"/>
        </w:rPr>
      </w:pPr>
      <w:r w:rsidRPr="004B45F5">
        <w:rPr>
          <w:rStyle w:val="Refdenotaalpie"/>
          <w:rFonts w:ascii="Arial Narrow" w:hAnsi="Arial Narrow"/>
          <w:sz w:val="20"/>
          <w:szCs w:val="20"/>
        </w:rPr>
        <w:footnoteRef/>
      </w:r>
      <w:r w:rsidRPr="004B45F5">
        <w:rPr>
          <w:rFonts w:ascii="Arial Narrow" w:hAnsi="Arial Narrow"/>
          <w:sz w:val="20"/>
          <w:szCs w:val="20"/>
        </w:rPr>
        <w:t xml:space="preserve"> </w:t>
      </w:r>
      <w:r w:rsidRPr="004B45F5">
        <w:rPr>
          <w:rFonts w:ascii="Arial Narrow" w:eastAsia="Times New Roman" w:hAnsi="Arial Narrow" w:cs="Times New Roman"/>
          <w:color w:val="000000"/>
          <w:sz w:val="20"/>
          <w:szCs w:val="20"/>
          <w:lang w:val="en-US"/>
        </w:rPr>
        <w:t>(IDCM, 2021,b) UNVEILING THE COST OF INTERNAL DISPLACEMENT 2021. https://www.internal-displacement.org/sites/default/files/publications/documents/IDMC%20Cost%20Estimates%20Report%202021.pdf</w:t>
      </w:r>
    </w:p>
    <w:p w:rsidR="004B45F5" w:rsidRPr="004B45F5" w:rsidRDefault="004B45F5">
      <w:pPr>
        <w:pStyle w:val="Textonotapie"/>
        <w:rPr>
          <w:lang w:val="es-MX"/>
        </w:rPr>
      </w:pPr>
    </w:p>
  </w:footnote>
  <w:footnote w:id="20">
    <w:p w:rsidR="004B45F5" w:rsidRPr="004B45F5" w:rsidRDefault="004B45F5" w:rsidP="004B45F5">
      <w:pPr>
        <w:pBdr>
          <w:top w:val="nil"/>
          <w:left w:val="nil"/>
          <w:bottom w:val="nil"/>
          <w:right w:val="nil"/>
          <w:between w:val="nil"/>
        </w:pBdr>
        <w:spacing w:line="240" w:lineRule="auto"/>
        <w:rPr>
          <w:rFonts w:ascii="Arial Narrow" w:eastAsia="Times New Roman" w:hAnsi="Arial Narrow" w:cs="Times New Roman"/>
          <w:color w:val="000000"/>
          <w:sz w:val="20"/>
          <w:szCs w:val="20"/>
          <w:lang w:val="en-US"/>
        </w:rPr>
      </w:pPr>
      <w:r w:rsidRPr="004B45F5">
        <w:rPr>
          <w:rStyle w:val="Refdenotaalpie"/>
          <w:rFonts w:ascii="Arial Narrow" w:hAnsi="Arial Narrow"/>
        </w:rPr>
        <w:footnoteRef/>
      </w:r>
      <w:r w:rsidRPr="004B45F5">
        <w:rPr>
          <w:rFonts w:ascii="Arial Narrow" w:hAnsi="Arial Narrow"/>
        </w:rPr>
        <w:t xml:space="preserve"> </w:t>
      </w:r>
      <w:r w:rsidRPr="004B45F5">
        <w:rPr>
          <w:rFonts w:ascii="Arial Narrow" w:eastAsia="Times New Roman" w:hAnsi="Arial Narrow" w:cs="Times New Roman"/>
          <w:color w:val="000000"/>
          <w:sz w:val="20"/>
          <w:szCs w:val="20"/>
          <w:lang w:val="en-US"/>
        </w:rPr>
        <w:t>Global Facility For Disaster Reduction and Recovery [GFDRR]</w:t>
      </w:r>
    </w:p>
    <w:p w:rsidR="004B45F5" w:rsidRPr="004B45F5" w:rsidRDefault="004B45F5">
      <w:pPr>
        <w:pStyle w:val="Textonotapie"/>
        <w:rPr>
          <w:lang w:val="es-MX"/>
        </w:rPr>
      </w:pPr>
    </w:p>
  </w:footnote>
  <w:footnote w:id="21">
    <w:p w:rsidR="004B45F5" w:rsidRPr="004B45F5" w:rsidRDefault="004B45F5">
      <w:pPr>
        <w:pStyle w:val="Textonotapie"/>
        <w:rPr>
          <w:lang w:val="es-MX"/>
        </w:rPr>
      </w:pPr>
      <w:r>
        <w:rPr>
          <w:rStyle w:val="Refdenotaalpie"/>
        </w:rPr>
        <w:footnoteRef/>
      </w:r>
      <w:r>
        <w:t xml:space="preserve"> </w:t>
      </w:r>
      <w:r w:rsidRPr="00897E55">
        <w:rPr>
          <w:rFonts w:ascii="Arial Narrow" w:eastAsia="Times New Roman" w:hAnsi="Arial Narrow" w:cs="Times New Roman"/>
          <w:color w:val="000000"/>
        </w:rPr>
        <w:t>Centro de Monitoreo de Desplazamiento Interno en https://www.uniandes.edu.co/es/noticias/ciencias-biologicas/el-fenomeno-del-desplazamiento-por-factores-ambientales</w:t>
      </w:r>
      <w:r w:rsidR="00897E55">
        <w:rPr>
          <w:rFonts w:ascii="Arial Narrow" w:eastAsia="Times New Roman" w:hAnsi="Arial Narrow" w:cs="Times New Roman"/>
          <w:color w:val="000000"/>
        </w:rPr>
        <w:t>.</w:t>
      </w:r>
    </w:p>
  </w:footnote>
  <w:footnote w:id="22">
    <w:p w:rsidR="00897E55" w:rsidRPr="00897E55" w:rsidRDefault="00897E55" w:rsidP="00897E55">
      <w:pPr>
        <w:pBdr>
          <w:top w:val="nil"/>
          <w:left w:val="nil"/>
          <w:bottom w:val="nil"/>
          <w:right w:val="nil"/>
          <w:between w:val="nil"/>
        </w:pBdr>
        <w:spacing w:line="240" w:lineRule="auto"/>
        <w:rPr>
          <w:rFonts w:ascii="Arial Narrow" w:eastAsia="Times New Roman" w:hAnsi="Arial Narrow" w:cs="Times New Roman"/>
          <w:color w:val="000000"/>
          <w:sz w:val="20"/>
          <w:szCs w:val="20"/>
        </w:rPr>
      </w:pPr>
      <w:r>
        <w:rPr>
          <w:rStyle w:val="Refdenotaalpie"/>
        </w:rPr>
        <w:footnoteRef/>
      </w:r>
      <w:r w:rsidRPr="00897E55">
        <w:rPr>
          <w:rFonts w:ascii="Arial Narrow" w:hAnsi="Arial Narrow"/>
        </w:rPr>
        <w:t xml:space="preserve"> </w:t>
      </w:r>
      <w:r w:rsidRPr="00897E55">
        <w:rPr>
          <w:rFonts w:ascii="Arial Narrow" w:eastAsia="Times New Roman" w:hAnsi="Arial Narrow" w:cs="Times New Roman"/>
          <w:color w:val="000000"/>
          <w:sz w:val="20"/>
          <w:szCs w:val="20"/>
        </w:rPr>
        <w:t>https://www.portafolio.co/economia/regiones/colombia-emergencias-climaticas-que-vivira-el-pais-en-el-segundo-semestre-del-2024-medio-ambiente-604884</w:t>
      </w:r>
    </w:p>
    <w:p w:rsidR="00897E55" w:rsidRPr="00897E55" w:rsidRDefault="00897E55">
      <w:pPr>
        <w:pStyle w:val="Textonotapie"/>
        <w:rPr>
          <w:lang w:val="es-MX"/>
        </w:rPr>
      </w:pPr>
    </w:p>
  </w:footnote>
  <w:footnote w:id="23">
    <w:p w:rsidR="00CC1A68" w:rsidRPr="00CC1A68" w:rsidRDefault="00CC1A68" w:rsidP="00CC1A68">
      <w:pPr>
        <w:pStyle w:val="Textonotapie"/>
        <w:jc w:val="both"/>
        <w:rPr>
          <w:lang w:val="es-MX"/>
        </w:rPr>
      </w:pPr>
      <w:r>
        <w:rPr>
          <w:rStyle w:val="Refdenotaalpie"/>
        </w:rPr>
        <w:footnoteRef/>
      </w:r>
      <w:r>
        <w:t xml:space="preserve"> </w:t>
      </w:r>
      <w:r w:rsidRPr="00CC1A68">
        <w:rPr>
          <w:rFonts w:ascii="Arial Narrow" w:hAnsi="Arial Narrow"/>
        </w:rPr>
        <w:t xml:space="preserve">Arcila, P. A. (2024, </w:t>
      </w:r>
      <w:proofErr w:type="spellStart"/>
      <w:r w:rsidRPr="00CC1A68">
        <w:rPr>
          <w:rFonts w:ascii="Arial Narrow" w:hAnsi="Arial Narrow"/>
        </w:rPr>
        <w:t>November</w:t>
      </w:r>
      <w:proofErr w:type="spellEnd"/>
      <w:r w:rsidRPr="00CC1A68">
        <w:rPr>
          <w:rFonts w:ascii="Arial Narrow" w:hAnsi="Arial Narrow"/>
        </w:rPr>
        <w:t xml:space="preserve"> 12). Tragedia de Armero: cronología de los sucesos. Señal Colombia. https://www.senalcolombia.tv/general/tragedia-de-armero-cronologia</w:t>
      </w:r>
    </w:p>
  </w:footnote>
  <w:footnote w:id="24">
    <w:p w:rsidR="00CC1A68" w:rsidRPr="00CC1A68" w:rsidRDefault="00CC1A68" w:rsidP="00CC1A68">
      <w:pPr>
        <w:pStyle w:val="Textonotapie"/>
        <w:jc w:val="both"/>
        <w:rPr>
          <w:rFonts w:ascii="Arial Narrow" w:hAnsi="Arial Narrow"/>
        </w:rPr>
      </w:pPr>
      <w:r w:rsidRPr="00CC1A68">
        <w:rPr>
          <w:rStyle w:val="Refdenotaalpie"/>
          <w:rFonts w:ascii="Arial Narrow" w:hAnsi="Arial Narrow"/>
        </w:rPr>
        <w:footnoteRef/>
      </w:r>
      <w:r w:rsidRPr="00CC1A68">
        <w:rPr>
          <w:rFonts w:ascii="Arial Narrow" w:hAnsi="Arial Narrow"/>
        </w:rPr>
        <w:t xml:space="preserve"> </w:t>
      </w:r>
      <w:r>
        <w:rPr>
          <w:rFonts w:ascii="Arial Narrow" w:hAnsi="Arial Narrow"/>
        </w:rPr>
        <w:t xml:space="preserve">S, M. M. M. (2024, </w:t>
      </w:r>
      <w:proofErr w:type="gramStart"/>
      <w:r>
        <w:rPr>
          <w:rFonts w:ascii="Arial Narrow" w:hAnsi="Arial Narrow"/>
        </w:rPr>
        <w:t>Septiemb</w:t>
      </w:r>
      <w:r w:rsidRPr="00CC1A68">
        <w:rPr>
          <w:rFonts w:ascii="Arial Narrow" w:hAnsi="Arial Narrow"/>
        </w:rPr>
        <w:t>r</w:t>
      </w:r>
      <w:r>
        <w:rPr>
          <w:rFonts w:ascii="Arial Narrow" w:hAnsi="Arial Narrow"/>
        </w:rPr>
        <w:t>e</w:t>
      </w:r>
      <w:proofErr w:type="gramEnd"/>
      <w:r w:rsidRPr="00CC1A68">
        <w:rPr>
          <w:rFonts w:ascii="Arial Narrow" w:hAnsi="Arial Narrow"/>
        </w:rPr>
        <w:t xml:space="preserve"> 9). Colombia, el país más letal para los defensores de la tierra y el ambiente. El País América. https://elpais.com/america-futura/2024-09-09/colombia-rompe-el-record-historico-como-el-pais-mas-letal-para-defensores-de-la-tierra-y-el-ambiente.html</w:t>
      </w:r>
    </w:p>
  </w:footnote>
  <w:footnote w:id="25">
    <w:p w:rsidR="00897E55" w:rsidRPr="00897E55" w:rsidRDefault="00897E55" w:rsidP="00897E55">
      <w:pPr>
        <w:pBdr>
          <w:top w:val="nil"/>
          <w:left w:val="nil"/>
          <w:bottom w:val="nil"/>
          <w:right w:val="nil"/>
          <w:between w:val="nil"/>
        </w:pBdr>
        <w:spacing w:line="240" w:lineRule="auto"/>
        <w:jc w:val="both"/>
        <w:rPr>
          <w:rFonts w:ascii="Arial Narrow" w:eastAsia="Times New Roman" w:hAnsi="Arial Narrow" w:cs="Times New Roman"/>
          <w:color w:val="000000"/>
          <w:sz w:val="20"/>
          <w:szCs w:val="20"/>
        </w:rPr>
      </w:pPr>
      <w:r>
        <w:rPr>
          <w:rStyle w:val="Refdenotaalpie"/>
        </w:rPr>
        <w:footnoteRef/>
      </w:r>
      <w:r>
        <w:t xml:space="preserve"> </w:t>
      </w:r>
      <w:r w:rsidRPr="00897E55">
        <w:rPr>
          <w:rFonts w:ascii="Arial Narrow" w:eastAsia="Times New Roman" w:hAnsi="Arial Narrow" w:cs="Times New Roman"/>
          <w:color w:val="000000"/>
          <w:sz w:val="20"/>
          <w:szCs w:val="20"/>
        </w:rPr>
        <w:t>Publicados el 11 de febrero de 1998. Sentencia T-327 de 2001: “[l]a interpretación más favorable a la protección de los derechos humanos de los desplazados hace necesaria la aplicación de los Principios Rectores del Desplazamientos Interno consagrados en el Informe del Representante Especial del Secretario General de Naciones Unidas para el tema de los Desplazamientos Internos de Personas, los cuales son parte del cuerpo normativo supranacional que integra el bloque de constitucionalidad de este caso”.</w:t>
      </w:r>
    </w:p>
  </w:footnote>
  <w:footnote w:id="26">
    <w:p w:rsidR="00897E55" w:rsidRPr="00897E55" w:rsidRDefault="00897E55">
      <w:pPr>
        <w:pStyle w:val="Textonotapie"/>
        <w:rPr>
          <w:rFonts w:ascii="Arial Narrow" w:hAnsi="Arial Narrow"/>
          <w:lang w:val="es-MX"/>
        </w:rPr>
      </w:pPr>
      <w:r w:rsidRPr="00897E55">
        <w:rPr>
          <w:rStyle w:val="Refdenotaalpie"/>
          <w:rFonts w:ascii="Arial Narrow" w:hAnsi="Arial Narrow"/>
        </w:rPr>
        <w:footnoteRef/>
      </w:r>
      <w:r w:rsidRPr="00897E55">
        <w:rPr>
          <w:rFonts w:ascii="Arial Narrow" w:hAnsi="Arial Narrow"/>
        </w:rPr>
        <w:t xml:space="preserve"> Sentencia C-330 de 2016.</w:t>
      </w:r>
    </w:p>
  </w:footnote>
  <w:footnote w:id="27">
    <w:p w:rsidR="00897E55" w:rsidRPr="00897E55" w:rsidRDefault="00897E55" w:rsidP="00897E55">
      <w:pPr>
        <w:pBdr>
          <w:top w:val="nil"/>
          <w:left w:val="nil"/>
          <w:bottom w:val="nil"/>
          <w:right w:val="nil"/>
          <w:between w:val="nil"/>
        </w:pBdr>
        <w:spacing w:line="240" w:lineRule="auto"/>
        <w:jc w:val="both"/>
        <w:rPr>
          <w:rFonts w:ascii="Arial Narrow" w:eastAsia="Times New Roman" w:hAnsi="Arial Narrow" w:cs="Times New Roman"/>
          <w:color w:val="000000"/>
          <w:sz w:val="20"/>
          <w:szCs w:val="20"/>
        </w:rPr>
      </w:pPr>
      <w:r w:rsidRPr="00897E55">
        <w:rPr>
          <w:rStyle w:val="Refdenotaalpie"/>
          <w:rFonts w:ascii="Arial Narrow" w:hAnsi="Arial Narrow"/>
        </w:rPr>
        <w:footnoteRef/>
      </w:r>
      <w:r w:rsidRPr="00897E55">
        <w:rPr>
          <w:rFonts w:ascii="Arial Narrow" w:eastAsia="Times New Roman" w:hAnsi="Arial Narrow" w:cs="Times New Roman"/>
          <w:color w:val="000000"/>
          <w:sz w:val="20"/>
          <w:szCs w:val="20"/>
        </w:rPr>
        <w:t xml:space="preserve">Lineamientos para la formulación de políticas públicas en materia de desplazamiento interno Corte Interamericana de Derechos Humanos CIDH </w:t>
      </w:r>
      <w:proofErr w:type="gramStart"/>
      <w:r w:rsidRPr="00897E55">
        <w:rPr>
          <w:rFonts w:ascii="Arial Narrow" w:eastAsia="Times New Roman" w:hAnsi="Arial Narrow" w:cs="Times New Roman"/>
          <w:color w:val="000000"/>
          <w:sz w:val="20"/>
          <w:szCs w:val="20"/>
        </w:rPr>
        <w:t>En  https://www.oas.org/es/cidh/informes/pdfs/guia-desplazamientointerno.pdf</w:t>
      </w:r>
      <w:proofErr w:type="gramEnd"/>
    </w:p>
  </w:footnote>
  <w:footnote w:id="28">
    <w:p w:rsidR="00897E55" w:rsidRPr="00897E55" w:rsidRDefault="00897E55" w:rsidP="00897E55">
      <w:pPr>
        <w:pStyle w:val="Textonotapie"/>
        <w:jc w:val="both"/>
        <w:rPr>
          <w:rFonts w:ascii="Arial Narrow" w:hAnsi="Arial Narrow"/>
          <w:lang w:val="es-MX"/>
        </w:rPr>
      </w:pPr>
      <w:r w:rsidRPr="00897E55">
        <w:rPr>
          <w:rStyle w:val="Refdenotaalpie"/>
          <w:rFonts w:ascii="Arial Narrow" w:hAnsi="Arial Narrow"/>
        </w:rPr>
        <w:footnoteRef/>
      </w:r>
      <w:r w:rsidRPr="00897E55">
        <w:rPr>
          <w:rFonts w:ascii="Arial Narrow" w:hAnsi="Arial Narrow"/>
        </w:rPr>
        <w:t xml:space="preserve"> El Marco de Adaptación de Cancún hace parte de los Acuerdos de Cancún a los que llegaron los Estados Parte de la CMNUCC en 2010. Ver: FCCC/CP/2010/7/Add.1, disponible en: https://unfccc.int/resource/docs/2010/cop16/spa/07a01s.pdf</w:t>
      </w:r>
    </w:p>
  </w:footnote>
  <w:footnote w:id="29">
    <w:p w:rsidR="00897E55" w:rsidRPr="00897E55" w:rsidRDefault="00897E55">
      <w:pPr>
        <w:pStyle w:val="Textonotapie"/>
        <w:rPr>
          <w:lang w:val="es-MX"/>
        </w:rPr>
      </w:pPr>
      <w:r>
        <w:rPr>
          <w:rStyle w:val="Refdenotaalpie"/>
        </w:rPr>
        <w:footnoteRef/>
      </w:r>
      <w:r>
        <w:t xml:space="preserve"> </w:t>
      </w:r>
      <w:r w:rsidRPr="00897E55">
        <w:rPr>
          <w:rFonts w:ascii="Arial Narrow" w:hAnsi="Arial Narrow"/>
        </w:rPr>
        <w:t>FCCC/CP/2010/7/Add.1, pág. 5. En Sentencia 123 de 2024</w:t>
      </w:r>
    </w:p>
  </w:footnote>
  <w:footnote w:id="30">
    <w:p w:rsidR="00897E55" w:rsidRPr="00897E55" w:rsidRDefault="00897E55">
      <w:pPr>
        <w:pStyle w:val="Textonotapie"/>
        <w:rPr>
          <w:lang w:val="es-MX"/>
        </w:rPr>
      </w:pPr>
      <w:r>
        <w:rPr>
          <w:rStyle w:val="Refdenotaalpie"/>
        </w:rPr>
        <w:footnoteRef/>
      </w:r>
      <w:r>
        <w:t xml:space="preserve"> </w:t>
      </w:r>
      <w:proofErr w:type="spellStart"/>
      <w:r w:rsidRPr="00897E55">
        <w:rPr>
          <w:rFonts w:ascii="Arial Narrow" w:hAnsi="Arial Narrow"/>
        </w:rPr>
        <w:t>Ibid</w:t>
      </w:r>
      <w:proofErr w:type="spellEnd"/>
    </w:p>
  </w:footnote>
  <w:footnote w:id="31">
    <w:p w:rsidR="00897E55" w:rsidRPr="00897E55" w:rsidRDefault="00897E55" w:rsidP="00897E55">
      <w:pPr>
        <w:pBdr>
          <w:top w:val="nil"/>
          <w:left w:val="nil"/>
          <w:bottom w:val="nil"/>
          <w:right w:val="nil"/>
          <w:between w:val="nil"/>
        </w:pBdr>
        <w:spacing w:line="240" w:lineRule="auto"/>
        <w:jc w:val="both"/>
        <w:rPr>
          <w:rFonts w:ascii="Arial Narrow" w:hAnsi="Arial Narrow"/>
          <w:color w:val="000000"/>
          <w:sz w:val="20"/>
          <w:szCs w:val="20"/>
        </w:rPr>
      </w:pPr>
      <w:r w:rsidRPr="00897E55">
        <w:rPr>
          <w:rStyle w:val="Refdenotaalpie"/>
          <w:rFonts w:ascii="Arial Narrow" w:hAnsi="Arial Narrow"/>
        </w:rPr>
        <w:footnoteRef/>
      </w:r>
      <w:r w:rsidRPr="00897E55">
        <w:rPr>
          <w:rFonts w:ascii="Arial Narrow" w:hAnsi="Arial Narrow"/>
        </w:rPr>
        <w:t xml:space="preserve"> </w:t>
      </w:r>
      <w:r w:rsidRPr="00897E55">
        <w:rPr>
          <w:rFonts w:ascii="Arial Narrow" w:hAnsi="Arial Narrow"/>
          <w:color w:val="000000"/>
          <w:sz w:val="20"/>
          <w:szCs w:val="20"/>
        </w:rPr>
        <w:t xml:space="preserve">La Corte con anterioridad a hecho mención a este instrumento en la Sentencia T-333 de 2022. </w:t>
      </w:r>
    </w:p>
  </w:footnote>
  <w:footnote w:id="32">
    <w:p w:rsidR="00897E55" w:rsidRPr="00897E55" w:rsidRDefault="00897E55" w:rsidP="00897E55">
      <w:pPr>
        <w:pStyle w:val="Textonotapie"/>
        <w:jc w:val="both"/>
        <w:rPr>
          <w:rFonts w:ascii="Arial Narrow" w:hAnsi="Arial Narrow"/>
          <w:lang w:val="es-MX"/>
        </w:rPr>
      </w:pPr>
      <w:r w:rsidRPr="00897E55">
        <w:rPr>
          <w:rStyle w:val="Refdenotaalpie"/>
          <w:rFonts w:ascii="Arial Narrow" w:hAnsi="Arial Narrow"/>
        </w:rPr>
        <w:footnoteRef/>
      </w:r>
      <w:r w:rsidRPr="00897E55">
        <w:rPr>
          <w:rFonts w:ascii="Arial Narrow" w:hAnsi="Arial Narrow"/>
        </w:rPr>
        <w:t xml:space="preserve"> </w:t>
      </w:r>
      <w:r w:rsidRPr="00897E55">
        <w:rPr>
          <w:rFonts w:ascii="Arial Narrow" w:hAnsi="Arial Narrow"/>
          <w:color w:val="000000"/>
          <w:highlight w:val="white"/>
        </w:rPr>
        <w:t>Tercera Conferencia Mundial de las Naciones Unidas, Marco de Sendai, numeral 33. Pág. 21.</w:t>
      </w:r>
    </w:p>
  </w:footnote>
  <w:footnote w:id="33">
    <w:p w:rsidR="00897E55" w:rsidRPr="00897E55" w:rsidRDefault="00897E55" w:rsidP="00897E55">
      <w:pPr>
        <w:pStyle w:val="Textonotapie"/>
        <w:jc w:val="both"/>
        <w:rPr>
          <w:rFonts w:ascii="Arial Narrow" w:hAnsi="Arial Narrow"/>
          <w:lang w:val="es-MX"/>
        </w:rPr>
      </w:pPr>
      <w:r w:rsidRPr="00897E55">
        <w:rPr>
          <w:rStyle w:val="Refdenotaalpie"/>
          <w:rFonts w:ascii="Arial Narrow" w:hAnsi="Arial Narrow"/>
        </w:rPr>
        <w:footnoteRef/>
      </w:r>
      <w:r w:rsidRPr="00897E55">
        <w:rPr>
          <w:rFonts w:ascii="Arial Narrow" w:hAnsi="Arial Narrow"/>
        </w:rPr>
        <w:t xml:space="preserve"> Sentencia 123 de 2024</w:t>
      </w:r>
    </w:p>
  </w:footnote>
  <w:footnote w:id="34">
    <w:p w:rsidR="00897E55" w:rsidRPr="00897E55" w:rsidRDefault="00897E55" w:rsidP="00897E55">
      <w:pPr>
        <w:pStyle w:val="Textonotapie"/>
        <w:jc w:val="both"/>
        <w:rPr>
          <w:rFonts w:ascii="Arial Narrow" w:hAnsi="Arial Narrow"/>
          <w:lang w:val="es-MX"/>
        </w:rPr>
      </w:pPr>
      <w:r w:rsidRPr="00897E55">
        <w:rPr>
          <w:rStyle w:val="Refdenotaalpie"/>
          <w:rFonts w:ascii="Arial Narrow" w:hAnsi="Arial Narrow"/>
        </w:rPr>
        <w:footnoteRef/>
      </w:r>
      <w:r w:rsidRPr="00897E55">
        <w:rPr>
          <w:rFonts w:ascii="Arial Narrow" w:hAnsi="Arial Narrow"/>
        </w:rPr>
        <w:t xml:space="preserve"> Asamblea General de la ONU, Informe de la Relatora Especial sobre los derechos humanos de los desplazados internos, Cecilia Jiménez-</w:t>
      </w:r>
      <w:proofErr w:type="spellStart"/>
      <w:r w:rsidRPr="00897E55">
        <w:rPr>
          <w:rFonts w:ascii="Arial Narrow" w:hAnsi="Arial Narrow"/>
        </w:rPr>
        <w:t>Damary</w:t>
      </w:r>
      <w:proofErr w:type="spellEnd"/>
      <w:r w:rsidRPr="00897E55">
        <w:rPr>
          <w:rFonts w:ascii="Arial Narrow" w:hAnsi="Arial Narrow"/>
        </w:rPr>
        <w:t xml:space="preserve"> sobre desplazamientos internos en el contexto de los efectos </w:t>
      </w:r>
      <w:r w:rsidRPr="00897E55">
        <w:rPr>
          <w:rFonts w:ascii="Arial Narrow" w:hAnsi="Arial Narrow"/>
          <w:color w:val="000000"/>
        </w:rPr>
        <w:t>adversos del cambio climático de evolución lenta. A/75/207, 20 Julio 2020, A/75/207. Disponible en: https://www.refworld.org.es/docid/60d262794.html</w:t>
      </w:r>
    </w:p>
  </w:footnote>
  <w:footnote w:id="35">
    <w:p w:rsidR="00897E55" w:rsidRPr="00897E55" w:rsidRDefault="00897E55" w:rsidP="00897E55">
      <w:pPr>
        <w:pStyle w:val="Textonotapie"/>
        <w:jc w:val="both"/>
        <w:rPr>
          <w:lang w:val="es-MX"/>
        </w:rPr>
      </w:pPr>
      <w:r w:rsidRPr="00897E55">
        <w:rPr>
          <w:rStyle w:val="Refdenotaalpie"/>
          <w:rFonts w:ascii="Arial Narrow" w:hAnsi="Arial Narrow"/>
        </w:rPr>
        <w:footnoteRef/>
      </w:r>
      <w:r w:rsidRPr="00897E55">
        <w:rPr>
          <w:rFonts w:ascii="Arial Narrow" w:hAnsi="Arial Narrow"/>
        </w:rPr>
        <w:t xml:space="preserve"> </w:t>
      </w:r>
      <w:r w:rsidRPr="00897E55">
        <w:rPr>
          <w:rFonts w:ascii="Arial Narrow" w:hAnsi="Arial Narrow"/>
          <w:color w:val="000000"/>
        </w:rPr>
        <w:t xml:space="preserve">Asamblea General de la ONU, Informe del Relator Especial sobre los derechos humanos de los desplazados internos, Sr. </w:t>
      </w:r>
      <w:proofErr w:type="spellStart"/>
      <w:r w:rsidRPr="00897E55">
        <w:rPr>
          <w:rFonts w:ascii="Arial Narrow" w:hAnsi="Arial Narrow"/>
          <w:color w:val="000000"/>
        </w:rPr>
        <w:t>Chaloka</w:t>
      </w:r>
      <w:proofErr w:type="spellEnd"/>
      <w:r w:rsidRPr="00897E55">
        <w:rPr>
          <w:rFonts w:ascii="Arial Narrow" w:hAnsi="Arial Narrow"/>
          <w:color w:val="000000"/>
        </w:rPr>
        <w:t xml:space="preserve"> </w:t>
      </w:r>
      <w:proofErr w:type="spellStart"/>
      <w:r w:rsidRPr="00897E55">
        <w:rPr>
          <w:rFonts w:ascii="Arial Narrow" w:hAnsi="Arial Narrow"/>
          <w:color w:val="000000"/>
        </w:rPr>
        <w:t>Beyani</w:t>
      </w:r>
      <w:proofErr w:type="spellEnd"/>
      <w:r w:rsidRPr="00897E55">
        <w:rPr>
          <w:rFonts w:ascii="Arial Narrow" w:hAnsi="Arial Narrow"/>
          <w:color w:val="000000"/>
        </w:rPr>
        <w:t xml:space="preserve">. Disponible </w:t>
      </w:r>
      <w:proofErr w:type="gramStart"/>
      <w:r w:rsidRPr="00897E55">
        <w:rPr>
          <w:rFonts w:ascii="Arial Narrow" w:hAnsi="Arial Narrow"/>
          <w:color w:val="000000"/>
        </w:rPr>
        <w:t>en :</w:t>
      </w:r>
      <w:proofErr w:type="gramEnd"/>
      <w:r w:rsidRPr="00897E55">
        <w:rPr>
          <w:rFonts w:ascii="Arial Narrow" w:hAnsi="Arial Narrow"/>
          <w:color w:val="000000"/>
        </w:rPr>
        <w:t xml:space="preserve"> https://www.acnur.org/fileadmin/Documentos/BDL/2014/9654.pdf.</w:t>
      </w:r>
    </w:p>
  </w:footnote>
  <w:footnote w:id="36">
    <w:p w:rsidR="00481917" w:rsidRPr="00481917" w:rsidRDefault="00481917" w:rsidP="00481917">
      <w:pPr>
        <w:pBdr>
          <w:top w:val="nil"/>
          <w:left w:val="nil"/>
          <w:bottom w:val="nil"/>
          <w:right w:val="nil"/>
          <w:between w:val="nil"/>
        </w:pBdr>
        <w:spacing w:line="240" w:lineRule="auto"/>
        <w:jc w:val="both"/>
        <w:rPr>
          <w:rFonts w:ascii="Arial Narrow" w:hAnsi="Arial Narrow"/>
          <w:color w:val="000000"/>
          <w:sz w:val="20"/>
          <w:szCs w:val="20"/>
        </w:rPr>
      </w:pPr>
      <w:r w:rsidRPr="00481917">
        <w:rPr>
          <w:rStyle w:val="Refdenotaalpie"/>
          <w:rFonts w:ascii="Arial Narrow" w:hAnsi="Arial Narrow"/>
        </w:rPr>
        <w:footnoteRef/>
      </w:r>
      <w:r w:rsidRPr="00481917">
        <w:rPr>
          <w:rFonts w:ascii="Arial Narrow" w:hAnsi="Arial Narrow"/>
        </w:rPr>
        <w:t xml:space="preserve"> </w:t>
      </w:r>
      <w:r w:rsidRPr="00481917">
        <w:rPr>
          <w:rFonts w:ascii="Arial Narrow" w:hAnsi="Arial Narrow"/>
          <w:color w:val="000000"/>
          <w:sz w:val="20"/>
          <w:szCs w:val="20"/>
          <w:lang w:val="en-US"/>
        </w:rPr>
        <w:t xml:space="preserve">The Peninsula Principles on Climate Displacement within States. </w:t>
      </w:r>
      <w:r w:rsidRPr="00481917">
        <w:rPr>
          <w:rFonts w:ascii="Arial Narrow" w:hAnsi="Arial Narrow"/>
          <w:color w:val="000000"/>
          <w:sz w:val="20"/>
          <w:szCs w:val="20"/>
        </w:rPr>
        <w:t>Disponible en: https://reliefweb.int/report/world/peninsula-principles-climate-displacement-within-states-2013</w:t>
      </w:r>
    </w:p>
  </w:footnote>
  <w:footnote w:id="37">
    <w:p w:rsidR="00481917" w:rsidRPr="00481917" w:rsidRDefault="00481917">
      <w:pPr>
        <w:pStyle w:val="Textonotapie"/>
        <w:rPr>
          <w:rFonts w:ascii="Arial Narrow" w:hAnsi="Arial Narrow"/>
          <w:lang w:val="es-MX"/>
        </w:rPr>
      </w:pPr>
      <w:r w:rsidRPr="00481917">
        <w:rPr>
          <w:rStyle w:val="Refdenotaalpie"/>
          <w:rFonts w:ascii="Arial Narrow" w:hAnsi="Arial Narrow"/>
        </w:rPr>
        <w:footnoteRef/>
      </w:r>
      <w:r w:rsidRPr="00481917">
        <w:rPr>
          <w:rFonts w:ascii="Arial Narrow" w:hAnsi="Arial Narrow"/>
        </w:rPr>
        <w:t xml:space="preserve"> Organización Internacional para las Migraciones (OIM). Estrategia Institucional Sobre Migración, Medio Ambiente y Cambio Climático 2021-2030. Promoviendo un enfoque integral basado en los derechos y los datos empíricos para abordar la migración en el contexto de la degradación ambiental, el cambio climático y los desastres, en beneficio de los migrantes y las sociedades. OIM, Ginebra. Disponible en: https://environmentalmigration.iom.int/iom-strategy-migration-environment-and-climate-change-2021-2030.</w:t>
      </w:r>
    </w:p>
  </w:footnote>
  <w:footnote w:id="38">
    <w:p w:rsidR="00481917" w:rsidRPr="00481917" w:rsidRDefault="00481917" w:rsidP="00481917">
      <w:pPr>
        <w:pBdr>
          <w:top w:val="nil"/>
          <w:left w:val="nil"/>
          <w:bottom w:val="nil"/>
          <w:right w:val="nil"/>
          <w:between w:val="nil"/>
        </w:pBdr>
        <w:spacing w:line="240" w:lineRule="auto"/>
        <w:rPr>
          <w:rFonts w:ascii="Arial Narrow" w:hAnsi="Arial Narrow"/>
          <w:color w:val="000000"/>
          <w:sz w:val="20"/>
          <w:szCs w:val="20"/>
        </w:rPr>
      </w:pPr>
      <w:r w:rsidRPr="00481917">
        <w:rPr>
          <w:rStyle w:val="Refdenotaalpie"/>
          <w:rFonts w:ascii="Arial Narrow" w:hAnsi="Arial Narrow"/>
        </w:rPr>
        <w:footnoteRef/>
      </w:r>
      <w:r w:rsidRPr="00481917">
        <w:rPr>
          <w:rFonts w:ascii="Arial Narrow" w:hAnsi="Arial Narrow"/>
        </w:rPr>
        <w:t xml:space="preserve"> </w:t>
      </w:r>
      <w:r w:rsidRPr="00481917">
        <w:rPr>
          <w:rFonts w:ascii="Arial Narrow" w:hAnsi="Arial Narrow"/>
          <w:color w:val="000000"/>
          <w:sz w:val="20"/>
          <w:szCs w:val="20"/>
        </w:rPr>
        <w:t>Sentencia 123 de 2024</w:t>
      </w:r>
    </w:p>
  </w:footnote>
  <w:footnote w:id="39">
    <w:p w:rsidR="00481917" w:rsidRPr="00481917" w:rsidRDefault="00481917">
      <w:pPr>
        <w:pStyle w:val="Textonotapie"/>
        <w:rPr>
          <w:lang w:val="es-MX"/>
        </w:rPr>
      </w:pPr>
      <w:r w:rsidRPr="00481917">
        <w:rPr>
          <w:rStyle w:val="Refdenotaalpie"/>
          <w:rFonts w:ascii="Arial Narrow" w:hAnsi="Arial Narrow"/>
        </w:rPr>
        <w:footnoteRef/>
      </w:r>
      <w:r w:rsidRPr="00481917">
        <w:rPr>
          <w:rFonts w:ascii="Arial Narrow" w:hAnsi="Arial Narrow"/>
        </w:rPr>
        <w:t xml:space="preserve"> Gobierno de Colombia. Estrategia Colombiana de Desarrollo Bajo en Carbono. Disponible en: https://www.car.gov.co/uploads/files/5ade3a8222934.pdf</w:t>
      </w:r>
    </w:p>
  </w:footnote>
  <w:footnote w:id="40">
    <w:p w:rsidR="00481917" w:rsidRPr="00481917" w:rsidRDefault="00481917">
      <w:pPr>
        <w:pStyle w:val="Textonotapie"/>
        <w:rPr>
          <w:lang w:val="es-MX"/>
        </w:rPr>
      </w:pPr>
      <w:r>
        <w:rPr>
          <w:rStyle w:val="Refdenotaalpie"/>
        </w:rPr>
        <w:footnoteRef/>
      </w:r>
      <w:r>
        <w:t xml:space="preserve"> </w:t>
      </w:r>
      <w:r w:rsidRPr="00481917">
        <w:rPr>
          <w:rFonts w:ascii="Arial Narrow" w:hAnsi="Arial Narrow"/>
          <w:color w:val="000000"/>
        </w:rPr>
        <w:t>Creado mediante la ley 1931 de 2018.</w:t>
      </w:r>
    </w:p>
  </w:footnote>
  <w:footnote w:id="41">
    <w:p w:rsidR="00481917" w:rsidRPr="00481917" w:rsidRDefault="00481917">
      <w:pPr>
        <w:pStyle w:val="Textonotapie"/>
        <w:rPr>
          <w:lang w:val="es-MX"/>
        </w:rPr>
      </w:pPr>
      <w:r>
        <w:rPr>
          <w:rStyle w:val="Refdenotaalpie"/>
        </w:rPr>
        <w:footnoteRef/>
      </w:r>
      <w:r>
        <w:t xml:space="preserve"> </w:t>
      </w:r>
      <w:r w:rsidRPr="00481917">
        <w:rPr>
          <w:rFonts w:ascii="Arial Narrow" w:hAnsi="Arial Narrow"/>
          <w:color w:val="000000"/>
        </w:rPr>
        <w:t>Sentencia 123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042" w:rsidRDefault="00CA2042">
    <w:pPr>
      <w:pBdr>
        <w:top w:val="nil"/>
        <w:left w:val="nil"/>
        <w:bottom w:val="nil"/>
        <w:right w:val="nil"/>
        <w:between w:val="nil"/>
      </w:pBd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4.35pt;margin-top:-74.05pt;width:614.35pt;height:795.6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26261"/>
    <w:multiLevelType w:val="multilevel"/>
    <w:tmpl w:val="F4D64BDA"/>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91"/>
    <w:rsid w:val="00481917"/>
    <w:rsid w:val="004B45F5"/>
    <w:rsid w:val="00897E55"/>
    <w:rsid w:val="009A5AB6"/>
    <w:rsid w:val="00CA2042"/>
    <w:rsid w:val="00CC1A68"/>
    <w:rsid w:val="00D70830"/>
    <w:rsid w:val="00DD33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9A8981"/>
  <w15:docId w15:val="{7AE5449F-5BE4-44F3-B173-1D28AD46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00" w:after="120"/>
    </w:pPr>
    <w:rPr>
      <w:sz w:val="40"/>
      <w:szCs w:val="40"/>
    </w:rPr>
  </w:style>
  <w:style w:type="paragraph" w:customStyle="1" w:styleId="heading20">
    <w:name w:val="heading 20"/>
    <w:basedOn w:val="Normal0"/>
    <w:next w:val="Normal0"/>
    <w:pPr>
      <w:keepNext/>
      <w:keepLines/>
      <w:spacing w:before="360" w:after="120"/>
    </w:pPr>
    <w:rPr>
      <w:sz w:val="32"/>
      <w:szCs w:val="32"/>
    </w:rPr>
  </w:style>
  <w:style w:type="paragraph" w:customStyle="1" w:styleId="heading30">
    <w:name w:val="heading 30"/>
    <w:basedOn w:val="Normal0"/>
    <w:next w:val="Normal0"/>
    <w:pPr>
      <w:keepNext/>
      <w:keepLines/>
      <w:spacing w:before="320" w:after="80"/>
    </w:pPr>
    <w:rPr>
      <w:color w:val="434343"/>
      <w:sz w:val="28"/>
      <w:szCs w:val="28"/>
    </w:rPr>
  </w:style>
  <w:style w:type="paragraph" w:customStyle="1" w:styleId="heading40">
    <w:name w:val="heading 40"/>
    <w:basedOn w:val="Normal0"/>
    <w:next w:val="Normal0"/>
    <w:pPr>
      <w:keepNext/>
      <w:keepLines/>
      <w:spacing w:before="280" w:after="80"/>
    </w:pPr>
    <w:rPr>
      <w:color w:val="666666"/>
      <w:sz w:val="24"/>
      <w:szCs w:val="24"/>
    </w:rPr>
  </w:style>
  <w:style w:type="paragraph" w:customStyle="1" w:styleId="heading50">
    <w:name w:val="heading 50"/>
    <w:basedOn w:val="Normal0"/>
    <w:next w:val="Normal0"/>
    <w:pPr>
      <w:keepNext/>
      <w:keepLines/>
      <w:spacing w:before="240" w:after="80"/>
    </w:pPr>
    <w:rPr>
      <w:color w:val="666666"/>
    </w:rPr>
  </w:style>
  <w:style w:type="paragraph" w:customStyle="1" w:styleId="heading60">
    <w:name w:val="heading 60"/>
    <w:basedOn w:val="Normal0"/>
    <w:next w:val="Normal0"/>
    <w:pPr>
      <w:keepNext/>
      <w:keepLines/>
      <w:spacing w:before="240" w:after="80"/>
    </w:pPr>
    <w:rPr>
      <w:i/>
      <w:color w:val="666666"/>
    </w:rPr>
  </w:style>
  <w:style w:type="paragraph" w:customStyle="1" w:styleId="Title0">
    <w:name w:val="Title0"/>
    <w:basedOn w:val="Normal0"/>
    <w:next w:val="Normal0"/>
    <w:pPr>
      <w:keepNext/>
      <w:keepLines/>
      <w:spacing w:after="60"/>
    </w:pPr>
    <w:rPr>
      <w:sz w:val="52"/>
      <w:szCs w:val="5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400" w:after="120"/>
    </w:pPr>
    <w:rPr>
      <w:sz w:val="40"/>
      <w:szCs w:val="40"/>
    </w:rPr>
  </w:style>
  <w:style w:type="paragraph" w:customStyle="1" w:styleId="heading21">
    <w:name w:val="heading 21"/>
    <w:basedOn w:val="Normal1"/>
    <w:next w:val="Normal1"/>
    <w:pPr>
      <w:keepNext/>
      <w:keepLines/>
      <w:spacing w:before="360" w:after="120"/>
    </w:pPr>
    <w:rPr>
      <w:sz w:val="32"/>
      <w:szCs w:val="32"/>
    </w:rPr>
  </w:style>
  <w:style w:type="paragraph" w:customStyle="1" w:styleId="heading31">
    <w:name w:val="heading 31"/>
    <w:basedOn w:val="Normal1"/>
    <w:next w:val="Normal1"/>
    <w:pPr>
      <w:keepNext/>
      <w:keepLines/>
      <w:spacing w:before="320" w:after="80"/>
    </w:pPr>
    <w:rPr>
      <w:color w:val="434343"/>
      <w:sz w:val="28"/>
      <w:szCs w:val="28"/>
    </w:rPr>
  </w:style>
  <w:style w:type="paragraph" w:customStyle="1" w:styleId="heading41">
    <w:name w:val="heading 41"/>
    <w:basedOn w:val="Normal1"/>
    <w:next w:val="Normal1"/>
    <w:pPr>
      <w:keepNext/>
      <w:keepLines/>
      <w:spacing w:before="280" w:after="80"/>
    </w:pPr>
    <w:rPr>
      <w:color w:val="666666"/>
      <w:sz w:val="24"/>
      <w:szCs w:val="24"/>
    </w:rPr>
  </w:style>
  <w:style w:type="paragraph" w:customStyle="1" w:styleId="heading51">
    <w:name w:val="heading 51"/>
    <w:basedOn w:val="Normal1"/>
    <w:next w:val="Normal1"/>
    <w:pPr>
      <w:keepNext/>
      <w:keepLines/>
      <w:spacing w:before="240" w:after="80"/>
    </w:pPr>
    <w:rPr>
      <w:color w:val="666666"/>
    </w:rPr>
  </w:style>
  <w:style w:type="paragraph" w:customStyle="1" w:styleId="heading61">
    <w:name w:val="heading 61"/>
    <w:basedOn w:val="Normal1"/>
    <w:next w:val="Normal1"/>
    <w:pPr>
      <w:keepNext/>
      <w:keepLines/>
      <w:spacing w:before="240" w:after="80"/>
    </w:pPr>
    <w:rPr>
      <w:i/>
      <w:color w:val="666666"/>
    </w:rPr>
  </w:style>
  <w:style w:type="paragraph" w:customStyle="1" w:styleId="Title1">
    <w:name w:val="Title1"/>
    <w:basedOn w:val="Normal1"/>
    <w:next w:val="Normal1"/>
    <w:pPr>
      <w:keepNext/>
      <w:keepLines/>
      <w:spacing w:after="60"/>
    </w:pPr>
    <w:rPr>
      <w:sz w:val="52"/>
      <w:szCs w:val="5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400" w:after="120"/>
    </w:pPr>
    <w:rPr>
      <w:sz w:val="40"/>
      <w:szCs w:val="40"/>
    </w:rPr>
  </w:style>
  <w:style w:type="paragraph" w:customStyle="1" w:styleId="heading22">
    <w:name w:val="heading 22"/>
    <w:basedOn w:val="Normal2"/>
    <w:next w:val="Normal2"/>
    <w:pPr>
      <w:keepNext/>
      <w:keepLines/>
      <w:spacing w:before="360" w:after="120"/>
    </w:pPr>
    <w:rPr>
      <w:sz w:val="32"/>
      <w:szCs w:val="32"/>
    </w:rPr>
  </w:style>
  <w:style w:type="paragraph" w:customStyle="1" w:styleId="heading32">
    <w:name w:val="heading 32"/>
    <w:basedOn w:val="Normal2"/>
    <w:next w:val="Normal2"/>
    <w:pPr>
      <w:keepNext/>
      <w:keepLines/>
      <w:spacing w:before="320" w:after="80"/>
    </w:pPr>
    <w:rPr>
      <w:color w:val="434343"/>
      <w:sz w:val="28"/>
      <w:szCs w:val="28"/>
    </w:rPr>
  </w:style>
  <w:style w:type="paragraph" w:customStyle="1" w:styleId="heading42">
    <w:name w:val="heading 42"/>
    <w:basedOn w:val="Normal2"/>
    <w:next w:val="Normal2"/>
    <w:pPr>
      <w:keepNext/>
      <w:keepLines/>
      <w:spacing w:before="280" w:after="80"/>
    </w:pPr>
    <w:rPr>
      <w:color w:val="666666"/>
      <w:sz w:val="24"/>
      <w:szCs w:val="24"/>
    </w:rPr>
  </w:style>
  <w:style w:type="paragraph" w:customStyle="1" w:styleId="heading52">
    <w:name w:val="heading 52"/>
    <w:basedOn w:val="Normal2"/>
    <w:next w:val="Normal2"/>
    <w:pPr>
      <w:keepNext/>
      <w:keepLines/>
      <w:spacing w:before="240" w:after="80"/>
    </w:pPr>
    <w:rPr>
      <w:color w:val="666666"/>
    </w:rPr>
  </w:style>
  <w:style w:type="paragraph" w:customStyle="1" w:styleId="heading62">
    <w:name w:val="heading 62"/>
    <w:basedOn w:val="Normal2"/>
    <w:next w:val="Normal2"/>
    <w:pPr>
      <w:keepNext/>
      <w:keepLines/>
      <w:spacing w:before="240" w:after="80"/>
    </w:pPr>
    <w:rPr>
      <w:i/>
      <w:color w:val="666666"/>
    </w:rPr>
  </w:style>
  <w:style w:type="paragraph" w:customStyle="1" w:styleId="Title2">
    <w:name w:val="Title2"/>
    <w:basedOn w:val="Normal2"/>
    <w:next w:val="Normal2"/>
    <w:pPr>
      <w:keepNext/>
      <w:keepLines/>
      <w:spacing w:after="60"/>
    </w:pPr>
    <w:rPr>
      <w:sz w:val="52"/>
      <w:szCs w:val="52"/>
    </w:rPr>
  </w:style>
  <w:style w:type="paragraph" w:customStyle="1" w:styleId="Normal3">
    <w:name w:val="Normal3"/>
    <w:qFormat/>
  </w:style>
  <w:style w:type="paragraph" w:customStyle="1" w:styleId="heading13">
    <w:name w:val="heading 13"/>
    <w:basedOn w:val="Normal3"/>
    <w:next w:val="Normal3"/>
    <w:uiPriority w:val="9"/>
    <w:qFormat/>
    <w:pPr>
      <w:keepNext/>
      <w:keepLines/>
      <w:spacing w:before="400" w:after="120"/>
      <w:outlineLvl w:val="0"/>
    </w:pPr>
    <w:rPr>
      <w:sz w:val="40"/>
      <w:szCs w:val="40"/>
    </w:rPr>
  </w:style>
  <w:style w:type="paragraph" w:customStyle="1" w:styleId="heading23">
    <w:name w:val="heading 23"/>
    <w:basedOn w:val="Normal3"/>
    <w:next w:val="Normal3"/>
    <w:uiPriority w:val="9"/>
    <w:semiHidden/>
    <w:unhideWhenUsed/>
    <w:qFormat/>
    <w:pPr>
      <w:keepNext/>
      <w:keepLines/>
      <w:spacing w:before="360" w:after="120"/>
      <w:outlineLvl w:val="1"/>
    </w:pPr>
    <w:rPr>
      <w:sz w:val="32"/>
      <w:szCs w:val="32"/>
    </w:rPr>
  </w:style>
  <w:style w:type="paragraph" w:customStyle="1" w:styleId="heading33">
    <w:name w:val="heading 33"/>
    <w:basedOn w:val="Normal3"/>
    <w:next w:val="Normal3"/>
    <w:uiPriority w:val="9"/>
    <w:semiHidden/>
    <w:unhideWhenUsed/>
    <w:qFormat/>
    <w:pPr>
      <w:keepNext/>
      <w:keepLines/>
      <w:spacing w:before="320" w:after="80"/>
      <w:outlineLvl w:val="2"/>
    </w:pPr>
    <w:rPr>
      <w:color w:val="434343"/>
      <w:sz w:val="28"/>
      <w:szCs w:val="28"/>
    </w:rPr>
  </w:style>
  <w:style w:type="paragraph" w:customStyle="1" w:styleId="heading43">
    <w:name w:val="heading 43"/>
    <w:basedOn w:val="Normal3"/>
    <w:next w:val="Normal3"/>
    <w:uiPriority w:val="9"/>
    <w:semiHidden/>
    <w:unhideWhenUsed/>
    <w:qFormat/>
    <w:pPr>
      <w:keepNext/>
      <w:keepLines/>
      <w:spacing w:before="280" w:after="80"/>
      <w:outlineLvl w:val="3"/>
    </w:pPr>
    <w:rPr>
      <w:color w:val="666666"/>
      <w:sz w:val="24"/>
      <w:szCs w:val="24"/>
    </w:rPr>
  </w:style>
  <w:style w:type="paragraph" w:customStyle="1" w:styleId="heading53">
    <w:name w:val="heading 53"/>
    <w:basedOn w:val="Normal3"/>
    <w:next w:val="Normal3"/>
    <w:uiPriority w:val="9"/>
    <w:semiHidden/>
    <w:unhideWhenUsed/>
    <w:qFormat/>
    <w:pPr>
      <w:keepNext/>
      <w:keepLines/>
      <w:spacing w:before="240" w:after="80"/>
      <w:outlineLvl w:val="4"/>
    </w:pPr>
    <w:rPr>
      <w:color w:val="666666"/>
    </w:rPr>
  </w:style>
  <w:style w:type="paragraph" w:customStyle="1" w:styleId="heading63">
    <w:name w:val="heading 63"/>
    <w:basedOn w:val="Normal3"/>
    <w:next w:val="Normal3"/>
    <w:uiPriority w:val="9"/>
    <w:semiHidden/>
    <w:unhideWhenUsed/>
    <w:qFormat/>
    <w:pPr>
      <w:keepNext/>
      <w:keepLines/>
      <w:spacing w:before="240" w:after="80"/>
      <w:outlineLvl w:val="5"/>
    </w:pPr>
    <w:rPr>
      <w:i/>
      <w:color w:val="666666"/>
    </w:rPr>
  </w:style>
  <w:style w:type="table" w:customStyle="1" w:styleId="NormalTable3">
    <w:name w:val="Normal Table3"/>
    <w:uiPriority w:val="99"/>
    <w:semiHidden/>
    <w:unhideWhenUsed/>
    <w:tblPr>
      <w:tblInd w:w="0" w:type="dxa"/>
      <w:tblCellMar>
        <w:top w:w="0" w:type="dxa"/>
        <w:left w:w="108" w:type="dxa"/>
        <w:bottom w:w="0" w:type="dxa"/>
        <w:right w:w="108" w:type="dxa"/>
      </w:tblCellMar>
    </w:tblPr>
  </w:style>
  <w:style w:type="table" w:customStyle="1" w:styleId="NormalTable4">
    <w:name w:val="Normal Table4"/>
    <w:tblPr>
      <w:tblCellMar>
        <w:top w:w="0" w:type="dxa"/>
        <w:left w:w="0" w:type="dxa"/>
        <w:bottom w:w="0" w:type="dxa"/>
        <w:right w:w="0" w:type="dxa"/>
      </w:tblCellMar>
    </w:tblPr>
  </w:style>
  <w:style w:type="paragraph" w:customStyle="1" w:styleId="Title3">
    <w:name w:val="Title3"/>
    <w:basedOn w:val="Normal3"/>
    <w:next w:val="Normal3"/>
    <w:uiPriority w:val="10"/>
    <w:qFormat/>
    <w:pPr>
      <w:keepNext/>
      <w:keepLines/>
      <w:spacing w:after="60"/>
    </w:pPr>
    <w:rPr>
      <w:sz w:val="52"/>
      <w:szCs w:val="52"/>
    </w:rPr>
  </w:style>
  <w:style w:type="paragraph" w:styleId="Subttulo">
    <w:name w:val="Subtitle"/>
    <w:basedOn w:val="Normal"/>
    <w:next w:val="Normal"/>
    <w:pPr>
      <w:keepNext/>
      <w:keepLines/>
      <w:pBdr>
        <w:top w:val="nil"/>
        <w:left w:val="nil"/>
        <w:bottom w:val="nil"/>
        <w:right w:val="nil"/>
        <w:between w:val="nil"/>
      </w:pBdr>
      <w:spacing w:after="320"/>
    </w:pPr>
    <w:rPr>
      <w:color w:val="666666"/>
      <w:sz w:val="30"/>
      <w:szCs w:val="30"/>
    </w:rPr>
  </w:style>
  <w:style w:type="paragraph" w:styleId="Encabezado">
    <w:name w:val="header"/>
    <w:basedOn w:val="Normal3"/>
    <w:link w:val="EncabezadoCar"/>
    <w:uiPriority w:val="99"/>
    <w:unhideWhenUsed/>
    <w:rsid w:val="001135CE"/>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1135CE"/>
    <w:rPr>
      <w:rFonts w:asciiTheme="minorHAnsi" w:eastAsiaTheme="minorHAnsi" w:hAnsiTheme="minorHAnsi" w:cstheme="minorBidi"/>
      <w:lang w:val="es-CO" w:eastAsia="en-US"/>
    </w:rPr>
  </w:style>
  <w:style w:type="character" w:styleId="Hipervnculo">
    <w:name w:val="Hyperlink"/>
    <w:basedOn w:val="Fuentedeprrafopredeter"/>
    <w:uiPriority w:val="99"/>
    <w:unhideWhenUsed/>
    <w:rsid w:val="001135CE"/>
    <w:rPr>
      <w:color w:val="0000FF" w:themeColor="hyperlink"/>
      <w:u w:val="single"/>
    </w:rPr>
  </w:style>
  <w:style w:type="table" w:styleId="Tablaconcuadrcula">
    <w:name w:val="Table Grid"/>
    <w:basedOn w:val="NormalTable3"/>
    <w:uiPriority w:val="39"/>
    <w:rsid w:val="001135CE"/>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3"/>
    <w:uiPriority w:val="99"/>
    <w:unhideWhenUsed/>
    <w:rsid w:val="001135CE"/>
    <w:pPr>
      <w:spacing w:before="100" w:beforeAutospacing="1" w:after="100" w:afterAutospacing="1" w:line="240" w:lineRule="auto"/>
    </w:pPr>
    <w:rPr>
      <w:rFonts w:ascii="Times New Roman" w:eastAsia="Times New Roman" w:hAnsi="Times New Roman" w:cs="Times New Roman"/>
      <w:sz w:val="24"/>
      <w:szCs w:val="24"/>
    </w:rPr>
  </w:style>
  <w:style w:type="paragraph" w:styleId="Lista">
    <w:name w:val="List"/>
    <w:basedOn w:val="Normal3"/>
    <w:uiPriority w:val="99"/>
    <w:unhideWhenUsed/>
    <w:rsid w:val="001135CE"/>
    <w:pPr>
      <w:spacing w:line="240" w:lineRule="auto"/>
      <w:ind w:left="283" w:hanging="283"/>
      <w:contextualSpacing/>
      <w:jc w:val="both"/>
    </w:pPr>
    <w:rPr>
      <w:rFonts w:asciiTheme="minorHAnsi" w:eastAsiaTheme="minorHAnsi" w:hAnsiTheme="minorHAnsi" w:cstheme="minorBidi"/>
      <w:lang w:eastAsia="en-US"/>
    </w:rPr>
  </w:style>
  <w:style w:type="character" w:customStyle="1" w:styleId="titlepl">
    <w:name w:val="titlepl"/>
    <w:basedOn w:val="Fuentedeprrafopredeter"/>
    <w:rsid w:val="001135CE"/>
  </w:style>
  <w:style w:type="paragraph" w:styleId="Sinespaciado">
    <w:name w:val="No Spacing"/>
    <w:uiPriority w:val="1"/>
    <w:qFormat/>
    <w:rsid w:val="001135CE"/>
    <w:pPr>
      <w:spacing w:line="240" w:lineRule="auto"/>
    </w:pPr>
    <w:rPr>
      <w:rFonts w:asciiTheme="minorHAnsi" w:eastAsiaTheme="minorHAnsi" w:hAnsiTheme="minorHAnsi" w:cstheme="minorBidi"/>
      <w:lang w:eastAsia="en-US"/>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3"/>
    <w:link w:val="PrrafodelistaCar"/>
    <w:uiPriority w:val="34"/>
    <w:qFormat/>
    <w:rsid w:val="006646B3"/>
    <w:pPr>
      <w:spacing w:line="240" w:lineRule="auto"/>
      <w:ind w:left="720"/>
      <w:contextualSpacing/>
    </w:pPr>
    <w:rPr>
      <w:rFonts w:ascii="Calibri" w:eastAsia="Calibri" w:hAnsi="Calibri" w:cs="Calibri"/>
      <w:sz w:val="24"/>
      <w:szCs w:val="24"/>
      <w:lang w:val="es-MX"/>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6646B3"/>
    <w:rPr>
      <w:rFonts w:ascii="Calibri" w:eastAsia="Calibri" w:hAnsi="Calibri" w:cs="Calibri"/>
      <w:sz w:val="24"/>
      <w:szCs w:val="24"/>
      <w:lang w:val="es-MX"/>
    </w:rPr>
  </w:style>
  <w:style w:type="paragraph" w:styleId="Textonotapie">
    <w:name w:val="footnote text"/>
    <w:basedOn w:val="Normal3"/>
    <w:link w:val="TextonotapieCar"/>
    <w:uiPriority w:val="99"/>
    <w:semiHidden/>
    <w:unhideWhenUsed/>
    <w:rsid w:val="002F0084"/>
    <w:pPr>
      <w:spacing w:line="240" w:lineRule="auto"/>
    </w:pPr>
    <w:rPr>
      <w:sz w:val="20"/>
      <w:szCs w:val="20"/>
    </w:rPr>
  </w:style>
  <w:style w:type="character" w:customStyle="1" w:styleId="TextonotapieCar">
    <w:name w:val="Texto nota pie Car"/>
    <w:basedOn w:val="Fuentedeprrafopredeter"/>
    <w:link w:val="Textonotapie"/>
    <w:uiPriority w:val="99"/>
    <w:semiHidden/>
    <w:rsid w:val="002F0084"/>
    <w:rPr>
      <w:sz w:val="20"/>
      <w:szCs w:val="20"/>
    </w:rPr>
  </w:style>
  <w:style w:type="character" w:styleId="Refdenotaalpie">
    <w:name w:val="footnote reference"/>
    <w:basedOn w:val="Fuentedeprrafopredeter"/>
    <w:uiPriority w:val="99"/>
    <w:semiHidden/>
    <w:unhideWhenUsed/>
    <w:rsid w:val="002F0084"/>
    <w:rPr>
      <w:vertAlign w:val="superscript"/>
    </w:rPr>
  </w:style>
  <w:style w:type="character" w:customStyle="1" w:styleId="Mencinsinresolver1">
    <w:name w:val="Mención sin resolver1"/>
    <w:basedOn w:val="Fuentedeprrafopredeter"/>
    <w:uiPriority w:val="99"/>
    <w:semiHidden/>
    <w:unhideWhenUsed/>
    <w:rsid w:val="002F0084"/>
    <w:rPr>
      <w:color w:val="605E5C"/>
      <w:shd w:val="clear" w:color="auto" w:fill="E1DFDD"/>
    </w:rPr>
  </w:style>
  <w:style w:type="paragraph" w:styleId="Piedepgina">
    <w:name w:val="footer"/>
    <w:basedOn w:val="Normal3"/>
    <w:link w:val="PiedepginaCar"/>
    <w:uiPriority w:val="99"/>
    <w:unhideWhenUsed/>
    <w:rsid w:val="00225FB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25FBA"/>
  </w:style>
  <w:style w:type="paragraph" w:styleId="Textodeglobo">
    <w:name w:val="Balloon Text"/>
    <w:basedOn w:val="Normal3"/>
    <w:link w:val="TextodegloboCar"/>
    <w:uiPriority w:val="99"/>
    <w:semiHidden/>
    <w:unhideWhenUsed/>
    <w:rsid w:val="00FD64D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64DD"/>
    <w:rPr>
      <w:rFonts w:ascii="Segoe UI" w:hAnsi="Segoe UI" w:cs="Segoe UI"/>
      <w:sz w:val="18"/>
      <w:szCs w:val="18"/>
    </w:rPr>
  </w:style>
  <w:style w:type="character" w:styleId="Refdecomentario">
    <w:name w:val="annotation reference"/>
    <w:basedOn w:val="Fuentedeprrafopredeter"/>
    <w:uiPriority w:val="99"/>
    <w:semiHidden/>
    <w:unhideWhenUsed/>
    <w:rsid w:val="00E24DC5"/>
    <w:rPr>
      <w:sz w:val="16"/>
      <w:szCs w:val="16"/>
    </w:rPr>
  </w:style>
  <w:style w:type="paragraph" w:styleId="Textocomentario">
    <w:name w:val="annotation text"/>
    <w:basedOn w:val="Normal3"/>
    <w:link w:val="TextocomentarioCar"/>
    <w:uiPriority w:val="99"/>
    <w:semiHidden/>
    <w:unhideWhenUsed/>
    <w:rsid w:val="00E24D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4DC5"/>
    <w:rPr>
      <w:sz w:val="20"/>
      <w:szCs w:val="20"/>
    </w:rPr>
  </w:style>
  <w:style w:type="paragraph" w:styleId="Asuntodelcomentario">
    <w:name w:val="annotation subject"/>
    <w:basedOn w:val="Textocomentario"/>
    <w:next w:val="Textocomentario"/>
    <w:link w:val="AsuntodelcomentarioCar"/>
    <w:uiPriority w:val="99"/>
    <w:semiHidden/>
    <w:unhideWhenUsed/>
    <w:rsid w:val="00E24DC5"/>
    <w:rPr>
      <w:b/>
      <w:bCs/>
    </w:rPr>
  </w:style>
  <w:style w:type="character" w:customStyle="1" w:styleId="AsuntodelcomentarioCar">
    <w:name w:val="Asunto del comentario Car"/>
    <w:basedOn w:val="TextocomentarioCar"/>
    <w:link w:val="Asuntodelcomentario"/>
    <w:uiPriority w:val="99"/>
    <w:semiHidden/>
    <w:rsid w:val="00E24DC5"/>
    <w:rPr>
      <w:b/>
      <w:bCs/>
      <w:sz w:val="20"/>
      <w:szCs w:val="20"/>
    </w:rPr>
  </w:style>
  <w:style w:type="paragraph" w:customStyle="1" w:styleId="Subtitle0">
    <w:name w:val="Subtitle0"/>
    <w:basedOn w:val="Normal3"/>
    <w:next w:val="Normal3"/>
    <w:pPr>
      <w:keepNext/>
      <w:keepLines/>
      <w:spacing w:after="320"/>
    </w:pPr>
    <w:rPr>
      <w:color w:val="666666"/>
      <w:sz w:val="30"/>
      <w:szCs w:val="30"/>
    </w:rPr>
  </w:style>
  <w:style w:type="table" w:customStyle="1" w:styleId="a">
    <w:basedOn w:val="NormalTable4"/>
    <w:pPr>
      <w:spacing w:line="240" w:lineRule="auto"/>
    </w:pPr>
    <w:rPr>
      <w:rFonts w:ascii="Cambria" w:eastAsia="Cambria" w:hAnsi="Cambria" w:cs="Cambria"/>
    </w:rPr>
    <w:tblPr>
      <w:tblStyleRowBandSize w:val="1"/>
      <w:tblStyleColBandSize w:val="1"/>
      <w:tblCellMar>
        <w:left w:w="108" w:type="dxa"/>
        <w:right w:w="108" w:type="dxa"/>
      </w:tblCellMar>
    </w:tblPr>
  </w:style>
  <w:style w:type="paragraph" w:customStyle="1" w:styleId="Subtitle1">
    <w:name w:val="Subtitle1"/>
    <w:basedOn w:val="Normal3"/>
    <w:next w:val="Normal3"/>
    <w:pPr>
      <w:keepNext/>
      <w:keepLines/>
      <w:spacing w:after="320"/>
    </w:pPr>
    <w:rPr>
      <w:color w:val="666666"/>
      <w:sz w:val="30"/>
      <w:szCs w:val="30"/>
    </w:rPr>
  </w:style>
  <w:style w:type="table" w:customStyle="1" w:styleId="a0">
    <w:basedOn w:val="NormalTable4"/>
    <w:pPr>
      <w:spacing w:line="240" w:lineRule="auto"/>
    </w:pPr>
    <w:rPr>
      <w:rFonts w:ascii="Cambria" w:eastAsia="Cambria" w:hAnsi="Cambria" w:cs="Cambria"/>
    </w:rPr>
    <w:tblPr>
      <w:tblStyleRowBandSize w:val="1"/>
      <w:tblStyleColBandSize w:val="1"/>
      <w:tblCellMar>
        <w:left w:w="108" w:type="dxa"/>
        <w:right w:w="108" w:type="dxa"/>
      </w:tblCellMar>
    </w:tblPr>
  </w:style>
  <w:style w:type="paragraph" w:customStyle="1" w:styleId="Subtitle2">
    <w:name w:val="Subtitle2"/>
    <w:basedOn w:val="Normal3"/>
    <w:next w:val="Normal3"/>
    <w:pPr>
      <w:keepNext/>
      <w:keepLines/>
      <w:spacing w:after="320"/>
    </w:pPr>
    <w:rPr>
      <w:color w:val="666666"/>
      <w:sz w:val="30"/>
      <w:szCs w:val="30"/>
    </w:rPr>
  </w:style>
  <w:style w:type="table" w:customStyle="1" w:styleId="a1">
    <w:basedOn w:val="NormalTable4"/>
    <w:pPr>
      <w:spacing w:line="240" w:lineRule="auto"/>
    </w:pPr>
    <w:rPr>
      <w:rFonts w:ascii="Cambria" w:eastAsia="Cambria" w:hAnsi="Cambria" w:cs="Cambria"/>
    </w:rPr>
    <w:tblPr>
      <w:tblStyleRowBandSize w:val="1"/>
      <w:tblStyleColBandSize w:val="1"/>
      <w:tblCellMar>
        <w:left w:w="108" w:type="dxa"/>
        <w:right w:w="108" w:type="dxa"/>
      </w:tblCellMar>
    </w:tblPr>
  </w:style>
  <w:style w:type="paragraph" w:customStyle="1" w:styleId="Subtitle3">
    <w:name w:val="Subtitle3"/>
    <w:basedOn w:val="Normal3"/>
    <w:next w:val="Normal3"/>
    <w:pPr>
      <w:keepNext/>
      <w:keepLines/>
      <w:spacing w:after="320"/>
    </w:pPr>
    <w:rPr>
      <w:color w:val="666666"/>
      <w:sz w:val="30"/>
      <w:szCs w:val="30"/>
    </w:rPr>
  </w:style>
  <w:style w:type="table" w:customStyle="1" w:styleId="a2">
    <w:basedOn w:val="NormalTable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mara.gov.co/representantes/pedro-jose-suarez-vacca" TargetMode="External"/><Relationship Id="rId18" Type="http://schemas.openxmlformats.org/officeDocument/2006/relationships/hyperlink" Target="https://www.camara.gov.co/robert-daza-guevara" TargetMode="External"/><Relationship Id="rId26"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https://www.camara.gov.co/representantes/erick-adrian-velasco-burbano" TargetMode="External"/><Relationship Id="rId7" Type="http://schemas.openxmlformats.org/officeDocument/2006/relationships/footnotes" Target="footnotes.xml"/><Relationship Id="rId12" Type="http://schemas.openxmlformats.org/officeDocument/2006/relationships/hyperlink" Target="https://www.camara.gov.co/representantes/erick-adrian-velasco-burbano" TargetMode="External"/><Relationship Id="rId17" Type="http://schemas.openxmlformats.org/officeDocument/2006/relationships/hyperlink" Target="https://www.camara.gov.co/representantes/pedro-jose-suarez-vacca" TargetMode="External"/><Relationship Id="rId25" Type="http://schemas.openxmlformats.org/officeDocument/2006/relationships/hyperlink" Target="https://www.camara.gov.co/representantes/juan-pablo-salazar-rivera" TargetMode="External"/><Relationship Id="rId2" Type="http://schemas.openxmlformats.org/officeDocument/2006/relationships/customXml" Target="../customXml/item2.xml"/><Relationship Id="rId16" Type="http://schemas.openxmlformats.org/officeDocument/2006/relationships/hyperlink" Target="https://www.camara.gov.co/representantes/juan-pablo-salazar-rivera" TargetMode="External"/><Relationship Id="rId20" Type="http://schemas.openxmlformats.org/officeDocument/2006/relationships/hyperlink" Target="https://www.camara.gov.co/representantes/jorge-andres-cancimance-lope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mara.gov.co/representantes/jorge-andres-cancimance-lopez" TargetMode="External"/><Relationship Id="rId24" Type="http://schemas.openxmlformats.org/officeDocument/2006/relationships/hyperlink" Target="https://www.camara.gov.co/representantes/leyla-marleny-rincon-trujillo" TargetMode="External"/><Relationship Id="rId5" Type="http://schemas.openxmlformats.org/officeDocument/2006/relationships/settings" Target="settings.xml"/><Relationship Id="rId15" Type="http://schemas.openxmlformats.org/officeDocument/2006/relationships/hyperlink" Target="https://www.camara.gov.co/representantes/leyla-marleny-rincon-trujillo" TargetMode="External"/><Relationship Id="rId23" Type="http://schemas.openxmlformats.org/officeDocument/2006/relationships/hyperlink" Target="https://www.camara.gov.co/representantes/etna-tamara-argote-calderon" TargetMode="External"/><Relationship Id="rId28" Type="http://schemas.openxmlformats.org/officeDocument/2006/relationships/header" Target="header1.xml"/><Relationship Id="rId10" Type="http://schemas.openxmlformats.org/officeDocument/2006/relationships/hyperlink" Target="https://www.camara.gov.co/pablo-catatumbo-torres-victoria" TargetMode="External"/><Relationship Id="rId19" Type="http://schemas.openxmlformats.org/officeDocument/2006/relationships/hyperlink" Target="https://www.camara.gov.co/pablo-catatumbo-torres-victoria" TargetMode="External"/><Relationship Id="rId4" Type="http://schemas.openxmlformats.org/officeDocument/2006/relationships/styles" Target="styles.xml"/><Relationship Id="rId9" Type="http://schemas.openxmlformats.org/officeDocument/2006/relationships/hyperlink" Target="https://www.camara.gov.co/robert-daza-guevara" TargetMode="External"/><Relationship Id="rId14" Type="http://schemas.openxmlformats.org/officeDocument/2006/relationships/hyperlink" Target="https://www.camara.gov.co/representantes/etna-tamara-argote-calderon" TargetMode="External"/><Relationship Id="rId22" Type="http://schemas.openxmlformats.org/officeDocument/2006/relationships/hyperlink" Target="https://www.camara.gov.co/representantes/pedro-jose-suarez-vacca" TargetMode="External"/><Relationship Id="rId27" Type="http://schemas.openxmlformats.org/officeDocument/2006/relationships/image" Target="media/image2.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gendaestadodederecho.com/desplazamiento-forzado-por-cuestiones-ambient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bVdxwHXCzGMrMyu93nR1kyvjzA==">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547F45-766D-409C-9C02-9DB298B1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18092</Words>
  <Characters>99506</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Lina Katerin Gómez Arenas</cp:lastModifiedBy>
  <cp:revision>2</cp:revision>
  <dcterms:created xsi:type="dcterms:W3CDTF">2024-12-09T20:57:00Z</dcterms:created>
  <dcterms:modified xsi:type="dcterms:W3CDTF">2024-12-09T20:57:00Z</dcterms:modified>
</cp:coreProperties>
</file>